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333-203369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Clearway Energy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32-0407370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(609) 608-1525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8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As of May 1, 2026, there were 42,738,750 Class B units outstanding, 121,168,025 Class C units outstanding, and 41,361,142 Class D units outstanding. There is no public market for the registrant's outstanding units.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0">
              <w:r>
                <w:rPr>
                  <w:rStyle w:val="InternetLink"/>
                  <w:rFonts w:ascii="Times New Roman;serif" w:hAnsi="Times New Roman;serif"/>
                  <w:b/>
                  <w:color w:val="0000FF"/>
                  <w:sz w:val="20"/>
                  <w:u w:val="single"/>
                </w:rPr>
                <w:t>CAUTIONARY STATEMENT REGARDING FORWARD LOOKING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0">
              <w:r>
                <w:rPr>
                  <w:rStyle w:val="InternetLink"/>
                  <w:rFonts w:ascii="Times New Roman;serif" w:hAnsi="Times New Roman;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3">
              <w:r>
                <w:rPr>
                  <w:rStyle w:val="InternetLink"/>
                  <w:rFonts w:ascii="Times New Roman;serif" w:hAnsi="Times New Roman;serif"/>
                  <w:b/>
                  <w:color w:val="0000FF"/>
                  <w:sz w:val="20"/>
                  <w:u w:val="single"/>
                </w:rPr>
                <w:t>GLOSSARY OF TERMS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3">
              <w:r>
                <w:rPr>
                  <w:rStyle w:val="InternetLink"/>
                  <w:rFonts w:ascii="Times New Roman;serif" w:hAnsi="Times New Roman;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6">
              <w:r>
                <w:rPr>
                  <w:rStyle w:val="InternetLink"/>
                  <w:rFonts w:ascii="Times New Roman;serif" w:hAnsi="Times New Roman;serif"/>
                  <w:b/>
                  <w:color w:val="0000FF"/>
                  <w:sz w:val="20"/>
                  <w:u w:val="single"/>
                </w:rPr>
                <w:t>PART I — 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6">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9">
              <w:r>
                <w:rPr>
                  <w:rStyle w:val="InternetLink"/>
                  <w:rFonts w:ascii="Times New Roman;serif" w:hAnsi="Times New Roman;serif"/>
                  <w:b w:val="false"/>
                  <w:color w:val="0000FF"/>
                  <w:sz w:val="20"/>
                  <w:u w:val="single"/>
                </w:rPr>
                <w:t>ITEM 1 — FINANCIAL STATEMENTS AND NOTES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9">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pPr>
            <w:hyperlink w:anchor="i7161b1abe34e437fb90237bea754c0cf_91">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91">
              <w:r>
                <w:rPr>
                  <w:rStyle w:val="InternetLink"/>
                  <w:rFonts w:ascii="Times New Roman;serif" w:hAnsi="Times New Roman;serif"/>
                  <w:b w:val="false"/>
                  <w:color w:val="0000FF"/>
                  <w:sz w:val="20"/>
                  <w:u w:val="single"/>
                </w:rPr>
                <w:t>30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30">
              <w:r>
                <w:rPr>
                  <w:rStyle w:val="InternetLink"/>
                  <w:rFonts w:ascii="Times New Roman;serif" w:hAnsi="Times New Roman;serif"/>
                  <w:b w:val="false"/>
                  <w:color w:val="0000FF"/>
                  <w:sz w:val="20"/>
                  <w:u w:val="single"/>
                </w:rPr>
                <w:t>ITEM 3 — 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30">
              <w:r>
                <w:rPr>
                  <w:rStyle w:val="InternetLink"/>
                  <w:rFonts w:ascii="Times New Roman;serif" w:hAnsi="Times New Roman;serif"/>
                  <w:b w:val="false"/>
                  <w:color w:val="0000FF"/>
                  <w:sz w:val="20"/>
                  <w:u w:val="singl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36">
              <w:r>
                <w:rPr>
                  <w:rStyle w:val="InternetLink"/>
                  <w:rFonts w:ascii="Times New Roman;serif" w:hAnsi="Times New Roman;serif"/>
                  <w:b w:val="false"/>
                  <w:color w:val="0000FF"/>
                  <w:sz w:val="20"/>
                  <w:u w:val="single"/>
                </w:rPr>
                <w:t>ITEM 4 — 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36">
              <w:r>
                <w:rPr>
                  <w:rStyle w:val="InternetLink"/>
                  <w:rFonts w:ascii="Times New Roman;serif" w:hAnsi="Times New Roman;serif"/>
                  <w:b w:val="false"/>
                  <w:color w:val="0000FF"/>
                  <w:sz w:val="20"/>
                  <w:u w:val="singl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39">
              <w:r>
                <w:rPr>
                  <w:rStyle w:val="InternetLink"/>
                  <w:rFonts w:ascii="Times New Roman;serif" w:hAnsi="Times New Roman;serif"/>
                  <w:b/>
                  <w:color w:val="0000FF"/>
                  <w:sz w:val="20"/>
                  <w:u w:val="single"/>
                </w:rPr>
                <w:t>PART II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39">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42">
              <w:r>
                <w:rPr>
                  <w:rStyle w:val="InternetLink"/>
                  <w:rFonts w:ascii="Times New Roman;serif" w:hAnsi="Times New Roman;serif"/>
                  <w:b w:val="false"/>
                  <w:color w:val="0000FF"/>
                  <w:sz w:val="20"/>
                  <w:u w:val="single"/>
                </w:rPr>
                <w:t>ITEM 1 — 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42">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45">
              <w:r>
                <w:rPr>
                  <w:rStyle w:val="InternetLink"/>
                  <w:rFonts w:ascii="Times New Roman;serif" w:hAnsi="Times New Roman;serif"/>
                  <w:b w:val="false"/>
                  <w:color w:val="0000FF"/>
                  <w:sz w:val="20"/>
                  <w:u w:val="single"/>
                </w:rPr>
                <w:t>ITEM 1A — 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45">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51">
              <w:r>
                <w:rPr>
                  <w:rStyle w:val="InternetLink"/>
                  <w:rFonts w:ascii="Times New Roman;serif" w:hAnsi="Times New Roman;serif"/>
                  <w:b w:val="false"/>
                  <w:color w:val="0000FF"/>
                  <w:sz w:val="20"/>
                  <w:u w:val="single"/>
                </w:rPr>
                <w:t>ITEM 2 — 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48">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51">
              <w:r>
                <w:rPr>
                  <w:rStyle w:val="InternetLink"/>
                  <w:rFonts w:ascii="Times New Roman;serif" w:hAnsi="Times New Roman;serif"/>
                  <w:b w:val="false"/>
                  <w:color w:val="0000FF"/>
                  <w:sz w:val="20"/>
                  <w:u w:val="single"/>
                </w:rPr>
                <w:t>ITEM 3 — 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51">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54">
              <w:r>
                <w:rPr>
                  <w:rStyle w:val="InternetLink"/>
                  <w:rFonts w:ascii="Times New Roman;serif" w:hAnsi="Times New Roman;serif"/>
                  <w:b w:val="false"/>
                  <w:color w:val="0000FF"/>
                  <w:sz w:val="20"/>
                  <w:u w:val="single"/>
                </w:rPr>
                <w:t>ITEM 4 — 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54">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57">
              <w:r>
                <w:rPr>
                  <w:rStyle w:val="InternetLink"/>
                  <w:rFonts w:ascii="Times New Roman;serif" w:hAnsi="Times New Roman;serif"/>
                  <w:b w:val="false"/>
                  <w:color w:val="0000FF"/>
                  <w:sz w:val="20"/>
                  <w:u w:val="single"/>
                </w:rPr>
                <w:t>ITEM 5 — 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57">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60">
              <w:r>
                <w:rPr>
                  <w:rStyle w:val="InternetLink"/>
                  <w:rFonts w:ascii="Times New Roman;serif" w:hAnsi="Times New Roman;serif"/>
                  <w:b w:val="false"/>
                  <w:color w:val="0000FF"/>
                  <w:sz w:val="20"/>
                  <w:u w:val="single"/>
                </w:rPr>
                <w:t>ITEM 6 — 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60">
              <w:r>
                <w:rPr>
                  <w:rStyle w:val="InternetLink"/>
                  <w:rFonts w:ascii="Times New Roman;serif" w:hAnsi="Times New Roman;serif"/>
                  <w:b w:val="false"/>
                  <w:color w:val="0000FF"/>
                  <w:sz w:val="20"/>
                  <w:u w:val="single"/>
                </w:rPr>
                <w:t>49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61b1abe34e437fb90237bea754c0cf_163">
              <w:r>
                <w:rPr>
                  <w:rStyle w:val="InternetLink"/>
                  <w:rFonts w:ascii="Times New Roman;serif" w:hAnsi="Times New Roman;serif"/>
                  <w:b/>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61b1abe34e437fb90237bea754c0cf_163">
              <w:r>
                <w:rPr>
                  <w:rStyle w:val="InternetLink"/>
                  <w:rFonts w:ascii="Times New Roman;serif" w:hAnsi="Times New Roman;serif"/>
                  <w:b w:val="false"/>
                  <w:color w:val="0000FF"/>
                  <w:sz w:val="20"/>
                  <w:u w:val="single"/>
                </w:rPr>
                <w:t>50</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of the Company’s Annual Report on Form 10-K for the year ended December 31, 2025, as well as the following:</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The Company’s ability to maintain and grow its quarterly distributions;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successfully identify, evaluate and consummate investment opportunities, as well as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97"/>
        <w:gridCol w:w="334"/>
        <w:gridCol w:w="272"/>
        <w:gridCol w:w="3144"/>
        <w:gridCol w:w="2796"/>
        <w:gridCol w:w="2804"/>
        <w:gridCol w:w="158"/>
      </w:tblGrid>
      <w:tr>
        <w:trPr/>
        <w:tc>
          <w:tcPr>
            <w:tcW w:w="69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Form 10-K</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as filed with the SEC on February 24,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Senior Notes</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Senior Notes</w:t>
            </w:r>
          </w:p>
        </w:tc>
        <w:tc>
          <w:tcPr>
            <w:tcW w:w="874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$600 million aggregate principal amount of 5.75% unsecured senior notes due 2034,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4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BESS</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CAFD</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March 31, 2026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Portfolio</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610 MW portfolio of operational solar facilities located in eight states that the Company acquired on March 30, 2026, previously referred to as the Deriva Solar Portfolio.</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Catalina</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 MW solar facility located in Kern County, California that the Company leases and operates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 Master Services Agreement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Master Services Agreement and Payroll Sharing Agreement, effective as of January 1, 2025, among the Company, Clearway, Inc., Clearway Energy Finance Inc.,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Conversion</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conversion of each share of Clearway, Inc.’s Class A common stock into one share of Clearway, Inc.’s Class C common stock, which such conversion occurred on May 1,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Inc.</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Inc., the holder of the Company’s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all shares of Clearway, Inc.’s Class B and Class D common stock and the Company’s Class B and Class D units and, from time to time, possibly shares of Clearway, Inc.’s Class C common stock. Clearway Energy Group LLC is a leading developer of renewable energy, energy storage and power infrastructure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Operating LLC</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facilities that are owned by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Renew</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CVSR </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Solar</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 Down Assets</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DSPP</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vAlign w:val="center"/>
          </w:tcPr>
          <w:p>
            <w:pPr>
              <w:pStyle w:val="TableContents"/>
              <w:bidi w:val="0"/>
              <w:spacing w:before="0" w:after="283"/>
              <w:jc w:val="left"/>
              <w:rPr>
                <w:sz w:val="4"/>
                <w:szCs w:val="4"/>
              </w:rPr>
            </w:pPr>
            <w:r>
              <w:rPr>
                <w:sz w:val="4"/>
                <w:szCs w:val="4"/>
              </w:rPr>
            </w:r>
          </w:p>
        </w:tc>
        <w:tc>
          <w:tcPr>
            <w:tcW w:w="87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ERCOT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559"/>
        <w:gridCol w:w="492"/>
        <w:gridCol w:w="506"/>
        <w:gridCol w:w="2964"/>
        <w:gridCol w:w="2759"/>
        <w:gridCol w:w="2768"/>
        <w:gridCol w:w="15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GenConn</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GenConn Energy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Gigawatt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HLBV</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Hypothetical Liquidation at Book Value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Portfolio</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 BESS facilities under construction in Beaver County and Iron County, Utah representing 320 MW of capacity, which includes Enterprise, Escalante I, Granite Mountain East and Iron Springs that are co-located with the respective solar facilities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TargetCo</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Honeycomb TargetCo LLC, the indirect owner of the Honeycomb Portfolio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System Operator, also referred to as an RTO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ITC</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Investment Tax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Megawatt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Saleable megawatt hours, net of internal/parasitic load megawatt-hours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to Clearway Energy LLC, net of collateral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OCI/OCL</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O&amp;M</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Palisade Plains Partnership</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Palisade Plains Development Partnership LLC, the indirect owner of Goat Mountain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PG&amp;E</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Pacific Gas and Electric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Purchase Agreement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RENOM</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Renewable Operation &amp; Maintenance LLC, a wholly-owned subsidiary of CEG</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Regional Transmission Organization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Southern California Edison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San Diego Gas &amp; Electric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the 2028 Senior Notes, the 2031 Senior Notes, the 2032 Senior Notes and the 2034 Senior Notes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Partners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SREC </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Renewable Energy Credit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Scale Solar</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4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849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76"/>
        <w:gridCol w:w="2104"/>
        <w:gridCol w:w="2116"/>
        <w:gridCol w:w="109"/>
        <w:gridCol w:w="109"/>
        <w:gridCol w:w="190"/>
        <w:gridCol w:w="190"/>
        <w:gridCol w:w="190"/>
        <w:gridCol w:w="190"/>
        <w:gridCol w:w="367"/>
        <w:gridCol w:w="813"/>
        <w:gridCol w:w="190"/>
        <w:gridCol w:w="109"/>
        <w:gridCol w:w="109"/>
        <w:gridCol w:w="109"/>
        <w:gridCol w:w="211"/>
        <w:gridCol w:w="466"/>
        <w:gridCol w:w="157"/>
      </w:tblGrid>
      <w:tr>
        <w:trPr/>
        <w:tc>
          <w:tcPr>
            <w:tcW w:w="247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161" w:type="dxa"/>
            <w:gridSpan w:val="6"/>
            <w:tcBorders/>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37"/>
        <w:gridCol w:w="2137"/>
        <w:gridCol w:w="2152"/>
        <w:gridCol w:w="109"/>
        <w:gridCol w:w="109"/>
        <w:gridCol w:w="182"/>
        <w:gridCol w:w="182"/>
        <w:gridCol w:w="182"/>
        <w:gridCol w:w="182"/>
        <w:gridCol w:w="352"/>
        <w:gridCol w:w="779"/>
        <w:gridCol w:w="182"/>
        <w:gridCol w:w="109"/>
        <w:gridCol w:w="109"/>
        <w:gridCol w:w="109"/>
        <w:gridCol w:w="211"/>
        <w:gridCol w:w="524"/>
        <w:gridCol w:w="158"/>
      </w:tblGrid>
      <w:tr>
        <w:trPr/>
        <w:tc>
          <w:tcPr>
            <w:tcW w:w="2437"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20" w:type="dxa"/>
            <w:gridSpan w:val="6"/>
            <w:tcBorders/>
          </w:tcPr>
          <w:p>
            <w:pPr>
              <w:pStyle w:val="TableContents"/>
              <w:bidi w:val="0"/>
              <w:spacing w:before="0" w:after="283"/>
              <w:jc w:val="left"/>
              <w:rPr>
                <w:sz w:val="4"/>
                <w:szCs w:val="4"/>
              </w:rPr>
            </w:pPr>
            <w:r>
              <w:rPr>
                <w:sz w:val="4"/>
                <w:szCs w:val="4"/>
              </w:rPr>
            </w:r>
          </w:p>
        </w:tc>
      </w:tr>
      <w:tr>
        <w:trPr/>
        <w:tc>
          <w:tcPr>
            <w:tcW w:w="6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 and changes in accumulated OCI/OCL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Clearway Energy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7526" w:type="dxa"/>
        <w:jc w:val="left"/>
        <w:tblInd w:w="0" w:type="dxa"/>
        <w:tblLayout w:type="fixed"/>
        <w:tblCellMar>
          <w:top w:w="28" w:type="dxa"/>
          <w:left w:w="28" w:type="dxa"/>
          <w:bottom w:w="28" w:type="dxa"/>
          <w:right w:w="28" w:type="dxa"/>
        </w:tblCellMar>
      </w:tblPr>
      <w:tblGrid>
        <w:gridCol w:w="1594"/>
        <w:gridCol w:w="1398"/>
        <w:gridCol w:w="1402"/>
        <w:gridCol w:w="255"/>
        <w:gridCol w:w="873"/>
        <w:gridCol w:w="132"/>
        <w:gridCol w:w="109"/>
        <w:gridCol w:w="109"/>
        <w:gridCol w:w="109"/>
        <w:gridCol w:w="300"/>
        <w:gridCol w:w="1026"/>
        <w:gridCol w:w="219"/>
      </w:tblGrid>
      <w:tr>
        <w:trPr/>
        <w:tc>
          <w:tcPr>
            <w:tcW w:w="15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affiliates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affiliates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external</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affiliate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affiliates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external</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 in subsidiaries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Contributed capital</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Members’ Equity</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Members’ Equity</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831" w:type="dxa"/>
        <w:jc w:val="left"/>
        <w:tblInd w:w="0" w:type="dxa"/>
        <w:tblLayout w:type="fixed"/>
        <w:tblCellMar>
          <w:top w:w="28" w:type="dxa"/>
          <w:left w:w="28" w:type="dxa"/>
          <w:bottom w:w="28" w:type="dxa"/>
          <w:right w:w="28" w:type="dxa"/>
        </w:tblCellMar>
      </w:tblPr>
      <w:tblGrid>
        <w:gridCol w:w="2331"/>
        <w:gridCol w:w="2046"/>
        <w:gridCol w:w="2058"/>
        <w:gridCol w:w="250"/>
        <w:gridCol w:w="554"/>
        <w:gridCol w:w="129"/>
        <w:gridCol w:w="129"/>
        <w:gridCol w:w="129"/>
        <w:gridCol w:w="129"/>
        <w:gridCol w:w="250"/>
        <w:gridCol w:w="643"/>
        <w:gridCol w:w="183"/>
      </w:tblGrid>
      <w:tr>
        <w:trPr/>
        <w:tc>
          <w:tcPr>
            <w:tcW w:w="2331"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amount of right-of-use assets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derivative instruments and amortization of accumulated OCI/OCL</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Drop Down Assets, net of cash acquired</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Contributions from noncontrolling interests,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Clearway, Inc.</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CEG, net of contributions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Class C units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distributions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 external</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external</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affiliate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41"/>
        <w:gridCol w:w="822"/>
        <w:gridCol w:w="816"/>
        <w:gridCol w:w="337"/>
        <w:gridCol w:w="725"/>
        <w:gridCol w:w="189"/>
        <w:gridCol w:w="109"/>
        <w:gridCol w:w="109"/>
        <w:gridCol w:w="109"/>
        <w:gridCol w:w="279"/>
        <w:gridCol w:w="601"/>
        <w:gridCol w:w="157"/>
        <w:gridCol w:w="109"/>
        <w:gridCol w:w="109"/>
        <w:gridCol w:w="109"/>
        <w:gridCol w:w="376"/>
        <w:gridCol w:w="779"/>
        <w:gridCol w:w="209"/>
        <w:gridCol w:w="109"/>
        <w:gridCol w:w="109"/>
        <w:gridCol w:w="109"/>
        <w:gridCol w:w="329"/>
        <w:gridCol w:w="936"/>
        <w:gridCol w:w="184"/>
        <w:gridCol w:w="109"/>
        <w:gridCol w:w="109"/>
        <w:gridCol w:w="109"/>
        <w:gridCol w:w="240"/>
        <w:gridCol w:w="681"/>
        <w:gridCol w:w="196"/>
      </w:tblGrid>
      <w:tr>
        <w:trPr/>
        <w:tc>
          <w:tcPr>
            <w:tcW w:w="104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Clearway, Inc., cash</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Cardinal Portfolio acquisition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Buyout of noncontrolling interest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Class C units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5"/>
        <w:gridCol w:w="821"/>
        <w:gridCol w:w="814"/>
        <w:gridCol w:w="332"/>
        <w:gridCol w:w="714"/>
        <w:gridCol w:w="186"/>
        <w:gridCol w:w="109"/>
        <w:gridCol w:w="109"/>
        <w:gridCol w:w="109"/>
        <w:gridCol w:w="273"/>
        <w:gridCol w:w="589"/>
        <w:gridCol w:w="154"/>
        <w:gridCol w:w="109"/>
        <w:gridCol w:w="109"/>
        <w:gridCol w:w="109"/>
        <w:gridCol w:w="514"/>
        <w:gridCol w:w="633"/>
        <w:gridCol w:w="288"/>
        <w:gridCol w:w="109"/>
        <w:gridCol w:w="109"/>
        <w:gridCol w:w="109"/>
        <w:gridCol w:w="325"/>
        <w:gridCol w:w="924"/>
        <w:gridCol w:w="182"/>
        <w:gridCol w:w="109"/>
        <w:gridCol w:w="109"/>
        <w:gridCol w:w="109"/>
        <w:gridCol w:w="237"/>
        <w:gridCol w:w="672"/>
        <w:gridCol w:w="194"/>
      </w:tblGrid>
      <w:tr>
        <w:trPr/>
        <w:tc>
          <w:tcPr>
            <w:tcW w:w="104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Contributions from noncontrolling interests, net of distributions, cash </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distributions, non-cash</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 — Nature of Business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13.6 GW of gross capacity in 27 states, including approximately 10.8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C common stock, including shares that were received in the Class A Conversion, are entitled to dividends as declared. CEG receives its distributions from the Company through its ownership of the Company’s Class B and Class D units.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Clearway, Inc. owned 58.91% of the economic interests of the Company, with CEG owning 41.09% of the economic interests of the Company.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diagram below represents a summarized structure of the Company as of March 31, 2026 (prior to the Class A Conversion):</w:t>
      </w:r>
    </w:p>
    <w:p>
      <w:pPr>
        <w:pStyle w:val="TextBody"/>
        <w:bidi w:val="0"/>
        <w:spacing w:before="0" w:after="60"/>
        <w:jc w:val="both"/>
        <w:rPr/>
      </w:pPr>
      <w:r>
        <w:rPr/>
        <w:drawing>
          <wp:inline distT="0" distB="0" distL="0" distR="0">
            <wp:extent cx="6515100" cy="37242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515100" cy="3724275"/>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2026, at Clearway, Inc.’s Annual Meeting of Stockholders, Clearway, Inc.’s stockholders approved a Second Amended and Restated Certificate of Incorporation, or the Amended Charter, pursuant to which each outstanding share of Clearway, Inc.’s Class A common stock was converted into one share of Clearway, Inc.’s Class C common stock, effective May 1, 2026, referred to as the Class A Conversion. Accordingly, Clearway, Inc. no longer has any Class A common stock outstanding. Effective concurrently with the Class A Conversion, each outstanding Class A unit of the Company was converted into one Class C unit of the Company. See Note 8, </w:t>
      </w:r>
      <w:r>
        <w:rPr>
          <w:rFonts w:ascii="Times New Roman;serif" w:hAnsi="Times New Roman;serif"/>
          <w:b w:val="false"/>
          <w:i/>
          <w:color w:val="000000"/>
          <w:sz w:val="20"/>
        </w:rPr>
        <w:t>Members’ Equity</w:t>
      </w:r>
      <w:r>
        <w:rPr>
          <w:rFonts w:ascii="Times New Roman;serif" w:hAnsi="Times New Roman;serif"/>
          <w:b w:val="false"/>
          <w:color w:val="000000"/>
          <w:sz w:val="20"/>
        </w:rPr>
        <w:t>, for further discussion of the Class A Conversion.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Certain prior period financial information included in these unaudited interim consolidated financial statements has been revised to correct immaterial errors. See Note 11, </w:t>
      </w:r>
      <w:r>
        <w:rPr>
          <w:rFonts w:ascii="Times New Roman;serif" w:hAnsi="Times New Roman;serif"/>
          <w:b w:val="false"/>
          <w:i/>
          <w:color w:val="000000"/>
          <w:sz w:val="20"/>
        </w:rPr>
        <w:t>Revision of Previously Issued Unaudited Financial Information</w:t>
      </w:r>
      <w:r>
        <w:rPr>
          <w:rFonts w:ascii="Times New Roman;serif" w:hAnsi="Times New Roman;serif"/>
          <w:b w:val="false"/>
          <w:color w:val="000000"/>
          <w:sz w:val="20"/>
        </w:rPr>
        <w:t>, for additional information.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notes should be read in conjunction with the accounting policies and other disclosures as set forth in the notes to the consolidated financial statements included in the Company’s 2025 Form 10-K. Interim results are not necessarily indicative of results for a full year.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contain all material adjustments consisting of normal and recurring accruals necessary for a fair statement of the Company’s consolidated financial position as of March 31, 2026 and December 31, 2025, and results of operations, comprehensive income (loss) and cash flows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an original maturity of three months or less at the time of purchase. Cash and cash equivalents held at subsidiary facilities was $233 million and $194 million as of March 31, 2026 and December 31, 2025, respectively.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578"/>
        <w:gridCol w:w="2255"/>
        <w:gridCol w:w="2268"/>
        <w:gridCol w:w="334"/>
        <w:gridCol w:w="738"/>
        <w:gridCol w:w="172"/>
        <w:gridCol w:w="109"/>
        <w:gridCol w:w="109"/>
        <w:gridCol w:w="109"/>
        <w:gridCol w:w="386"/>
        <w:gridCol w:w="857"/>
        <w:gridCol w:w="290"/>
      </w:tblGrid>
      <w:tr>
        <w:trPr/>
        <w:tc>
          <w:tcPr>
            <w:tcW w:w="2578"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consolidated statements of cash flows</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consists primarily of funds held to satisfy the requirements of certain debt agreements and funds held within the Company’s facilities that are restricted in their use. As of March 31, 2026, these restricted funds were comprised of $141 million designated to fund operating expenses, $97 million designated for current debt service payments and $85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accumulated depreciation included in property, plant and equipment, net, and accumulated amortization included in intangible assets, net:</w:t>
      </w:r>
    </w:p>
    <w:tbl>
      <w:tblPr>
        <w:tblW w:w="8082" w:type="dxa"/>
        <w:jc w:val="left"/>
        <w:tblInd w:w="0" w:type="dxa"/>
        <w:tblLayout w:type="fixed"/>
        <w:tblCellMar>
          <w:top w:w="28" w:type="dxa"/>
          <w:left w:w="28" w:type="dxa"/>
          <w:bottom w:w="28" w:type="dxa"/>
          <w:right w:w="28" w:type="dxa"/>
        </w:tblCellMar>
      </w:tblPr>
      <w:tblGrid>
        <w:gridCol w:w="1766"/>
        <w:gridCol w:w="1550"/>
        <w:gridCol w:w="1559"/>
        <w:gridCol w:w="291"/>
        <w:gridCol w:w="849"/>
        <w:gridCol w:w="150"/>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Accumulated Depreciation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Accumulated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tbl>
      <w:tblPr>
        <w:tblW w:w="7347" w:type="dxa"/>
        <w:jc w:val="left"/>
        <w:tblInd w:w="0" w:type="dxa"/>
        <w:tblLayout w:type="fixed"/>
        <w:tblCellMar>
          <w:top w:w="28" w:type="dxa"/>
          <w:left w:w="28" w:type="dxa"/>
          <w:bottom w:w="28" w:type="dxa"/>
          <w:right w:w="28" w:type="dxa"/>
        </w:tblCellMar>
      </w:tblPr>
      <w:tblGrid>
        <w:gridCol w:w="2144"/>
        <w:gridCol w:w="1887"/>
        <w:gridCol w:w="1894"/>
        <w:gridCol w:w="109"/>
        <w:gridCol w:w="109"/>
        <w:gridCol w:w="109"/>
        <w:gridCol w:w="278"/>
        <w:gridCol w:w="614"/>
        <w:gridCol w:w="203"/>
      </w:tblGrid>
      <w:tr>
        <w:trPr/>
        <w:tc>
          <w:tcPr>
            <w:tcW w:w="2144"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contribution from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the Company’s disaggregation of revenue from contracts with customers along with the reportable segment for each category:</w:t>
      </w:r>
    </w:p>
    <w:p>
      <w:pPr>
        <w:pStyle w:val="TextBody"/>
        <w:bidi w:val="0"/>
        <w:spacing w:before="0" w:after="60"/>
        <w:jc w:val="both"/>
        <w:rPr/>
      </w:pPr>
      <w:r>
        <w:rPr/>
      </w:r>
    </w:p>
    <w:tbl>
      <w:tblPr>
        <w:tblW w:w="9422" w:type="dxa"/>
        <w:jc w:val="left"/>
        <w:tblInd w:w="0" w:type="dxa"/>
        <w:tblLayout w:type="fixed"/>
        <w:tblCellMar>
          <w:top w:w="28" w:type="dxa"/>
          <w:left w:w="28" w:type="dxa"/>
          <w:bottom w:w="28" w:type="dxa"/>
          <w:right w:w="28" w:type="dxa"/>
        </w:tblCellMar>
      </w:tblPr>
      <w:tblGrid>
        <w:gridCol w:w="1410"/>
        <w:gridCol w:w="1235"/>
        <w:gridCol w:w="1240"/>
        <w:gridCol w:w="478"/>
        <w:gridCol w:w="818"/>
        <w:gridCol w:w="249"/>
        <w:gridCol w:w="134"/>
        <w:gridCol w:w="134"/>
        <w:gridCol w:w="134"/>
        <w:gridCol w:w="467"/>
        <w:gridCol w:w="1032"/>
        <w:gridCol w:w="240"/>
        <w:gridCol w:w="134"/>
        <w:gridCol w:w="134"/>
        <w:gridCol w:w="134"/>
        <w:gridCol w:w="134"/>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Energy revenue</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261 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Capacity revenue</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293 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354 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166 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tbl>
      <w:tblPr>
        <w:tblW w:w="9228" w:type="dxa"/>
        <w:jc w:val="left"/>
        <w:tblInd w:w="0" w:type="dxa"/>
        <w:tblLayout w:type="fixed"/>
        <w:tblCellMar>
          <w:top w:w="28" w:type="dxa"/>
          <w:left w:w="28" w:type="dxa"/>
          <w:bottom w:w="28" w:type="dxa"/>
          <w:right w:w="28" w:type="dxa"/>
        </w:tblCellMar>
      </w:tblPr>
      <w:tblGrid>
        <w:gridCol w:w="1410"/>
        <w:gridCol w:w="1237"/>
        <w:gridCol w:w="1238"/>
        <w:gridCol w:w="478"/>
        <w:gridCol w:w="820"/>
        <w:gridCol w:w="246"/>
        <w:gridCol w:w="149"/>
        <w:gridCol w:w="149"/>
        <w:gridCol w:w="149"/>
        <w:gridCol w:w="467"/>
        <w:gridCol w:w="1032"/>
        <w:gridCol w:w="240"/>
        <w:gridCol w:w="149"/>
        <w:gridCol w:w="149"/>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242 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contract assets included on the Company’s consolidated balance sheets:</w:t>
      </w:r>
    </w:p>
    <w:tbl>
      <w:tblPr>
        <w:tblW w:w="7512" w:type="dxa"/>
        <w:jc w:val="left"/>
        <w:tblInd w:w="0" w:type="dxa"/>
        <w:tblLayout w:type="fixed"/>
        <w:tblCellMar>
          <w:top w:w="28" w:type="dxa"/>
          <w:left w:w="28" w:type="dxa"/>
          <w:bottom w:w="28" w:type="dxa"/>
          <w:right w:w="28" w:type="dxa"/>
        </w:tblCellMar>
      </w:tblPr>
      <w:tblGrid>
        <w:gridCol w:w="1558"/>
        <w:gridCol w:w="1369"/>
        <w:gridCol w:w="1378"/>
        <w:gridCol w:w="346"/>
        <w:gridCol w:w="765"/>
        <w:gridCol w:w="179"/>
        <w:gridCol w:w="109"/>
        <w:gridCol w:w="109"/>
        <w:gridCol w:w="109"/>
        <w:gridCol w:w="402"/>
        <w:gridCol w:w="891"/>
        <w:gridCol w:w="297"/>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Contracts with customers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Leases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The amendment clarifies when software costs should be capitalized and requires certain disclosures for all capitalized internal-use software costs. The Company adopted ASU 2025-06 prospectively and the adoption had no material impact on the Company’s financial statements.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Effective January 1, 2026, the Company adopted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serif" w:hAnsi="Times New Roman;serif"/>
          <w:b w:val="false"/>
          <w:color w:val="000000"/>
          <w:sz w:val="20"/>
        </w:rPr>
        <w:t xml:space="preserve">The amendment expands the derivative scope exceptions and clarifies when an entity should apply the guidance 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contracts with share-based noncash consideration from a customer for the transfer of goods or services. The Company adopted ASU 2025-07 prospectively, and the adoption had no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0" w:after="180"/>
        <w:ind w:left="0" w:right="0" w:firstLine="450"/>
        <w:jc w:val="both"/>
        <w:rPr/>
      </w:pPr>
      <w:r>
        <w:rPr>
          <w:rFonts w:ascii="Times New Roman;serif" w:hAnsi="Times New Roman;serif"/>
          <w:b/>
          <w:i/>
          <w:color w:val="000000"/>
          <w:sz w:val="20"/>
          <w:shd w:fill="FFFFFF" w:val="clear"/>
        </w:rPr>
        <w:t xml:space="preserve">Cardinal Portfolio Acquisition </w:t>
      </w:r>
      <w:r>
        <w:rPr>
          <w:color w:val="000000"/>
          <w:shd w:fill="FFFFFF" w:val="clear"/>
        </w:rPr>
        <w:t xml:space="preserve">— </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a 610 MW portfolio of operational solar facilities located in eight states, for total cash consideration of $324 million, subject to post-closing adjustments. Of the total consideration, $244 million related to facilities consolidated by the Company and $80 million related to facilities held through a joint venture with a third-party investor. The joint venture includes 12 facilities located in the western U.S., comprising 225 MW. The Company’s investment in the joint venture is accounted for under the equity method, as further described in </w:t>
      </w:r>
      <w:r>
        <w:rPr>
          <w:rFonts w:ascii="Times New Roman;serif" w:hAnsi="Times New Roman;serif"/>
          <w:b w:val="false"/>
          <w:color w:val="000000"/>
          <w:sz w:val="20"/>
        </w:rPr>
        <w:t xml:space="preserve">Note 4,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Cardinal Portfolio has a weighted average remaining contract duration of approximately 10 years. The Cardinal Portfolio is reflected in the Renewables &amp; Storage segment and the acquisition was funded with $100 million in borrowings under the new financing arrangement entered into in connection with the acquisition, as further described in </w:t>
      </w:r>
      <w:r>
        <w:rPr>
          <w:rFonts w:ascii="Times New Roman;serif" w:hAnsi="Times New Roman;serif"/>
          <w:b w:val="false"/>
          <w:color w:val="000000"/>
          <w:sz w:val="20"/>
        </w:rPr>
        <w:t>Note 7</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shd w:fill="FFFFFF" w:val="clear"/>
        </w:rPr>
        <w:t>, as well as existing sources of liquidity. After factoring in cash acquired, transaction expenses and proceeds from the related financing activities, the Company estimates that its net capital investment in the Cardinal Portfolio will be approximately $240 million.</w:t>
      </w:r>
    </w:p>
    <w:p>
      <w:pPr>
        <w:pStyle w:val="TextBody"/>
        <w:bidi w:val="0"/>
        <w:spacing w:lineRule="auto" w:line="288" w:before="0" w:after="60"/>
        <w:ind w:left="0" w:right="0" w:firstLine="450"/>
        <w:jc w:val="both"/>
        <w:rPr/>
      </w:pPr>
      <w:r>
        <w:rPr>
          <w:rFonts w:ascii="Times New Roman;serif" w:hAnsi="Times New Roman;serif"/>
          <w:b w:val="false"/>
          <w:color w:val="000000"/>
          <w:sz w:val="20"/>
          <w:shd w:fill="FFFFFF" w:val="clear"/>
        </w:rPr>
        <w:t xml:space="preserve">The Company accounted for the consolidated group of facilities acquired by Cardinal Purchaser LLC as a business combination under ASC 805, </w:t>
      </w:r>
      <w:r>
        <w:rPr>
          <w:rFonts w:ascii="Times New Roman;serif" w:hAnsi="Times New Roman;serif"/>
          <w:b w:val="false"/>
          <w:i/>
          <w:color w:val="000000"/>
          <w:sz w:val="20"/>
          <w:shd w:fill="FFFFFF" w:val="clear"/>
        </w:rPr>
        <w:t>Business Combinations</w:t>
      </w:r>
      <w:r>
        <w:rPr>
          <w:rFonts w:ascii="Times New Roman;serif" w:hAnsi="Times New Roman;serif"/>
          <w:b w:val="false"/>
          <w:color w:val="000000"/>
          <w:sz w:val="20"/>
          <w:shd w:fill="FFFFFF" w:val="clear"/>
        </w:rPr>
        <w:t>, or ASC 805. The following table presents the preliminary fair value estimates of the assets acquired and liabilities assumed by Cardinal Purchaser LLC as of the acquisition date:</w:t>
      </w:r>
    </w:p>
    <w:tbl>
      <w:tblPr>
        <w:tblW w:w="6071" w:type="dxa"/>
        <w:jc w:val="left"/>
        <w:tblInd w:w="0" w:type="dxa"/>
        <w:tblLayout w:type="fixed"/>
        <w:tblCellMar>
          <w:top w:w="28" w:type="dxa"/>
          <w:left w:w="28" w:type="dxa"/>
          <w:bottom w:w="28" w:type="dxa"/>
          <w:right w:w="28" w:type="dxa"/>
        </w:tblCellMar>
      </w:tblPr>
      <w:tblGrid>
        <w:gridCol w:w="1447"/>
        <w:gridCol w:w="1276"/>
        <w:gridCol w:w="1281"/>
        <w:gridCol w:w="109"/>
        <w:gridCol w:w="109"/>
        <w:gridCol w:w="109"/>
        <w:gridCol w:w="440"/>
        <w:gridCol w:w="975"/>
        <w:gridCol w:w="325"/>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Cardinal Portfolio </w:t>
            </w:r>
            <w:r>
              <w:rPr>
                <w:rFonts w:ascii="Times New Roman;serif" w:hAnsi="Times New Roman;serif"/>
                <w:b/>
                <w:color w:val="000000"/>
                <w:sz w:val="12"/>
              </w:rPr>
              <w:t>(a)</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Noncontrolling interest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Excludes the equity method investment held by Cardinal JV Purchaser LLC.</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additional information regarding the assumed facility-level debt.</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Represents a tax equity fund, Shoreham Energy Holdings, LLC, which the Company consolidates as primary beneficiary. The Class A membership interests in Shoreham Energy Holdings, LLC are held by a tax equity investor.</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accordance with ASC 805, the assets acquired and liabilities assumed have been measured at fair value as of the acquisition date. The fair value of property, plant and equipment was determined primarily based on the income approach using discounted cash flows. This methodology was utilized as the forecasted cash flows incorporate specific attributes including age, useful life, equipment condition and technology. The fair value of intangible assets and liabilities for power purchase agreements was determined utilizing a variation of the income approach determined by discounting the replacement market price of the incremental cash flows associated with the contracts to present value. Intangible liabilities for power purchase agreements are included in other non-current liabilities. Primary assumptions utilized included estimates of generation, contractual prices, operating expenses and the weighted average cost of capital reflective of a market participant. These assumptions are considered to be a Level 3 measurement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as they utilize inputs that are not observable in the market. Long-term debt assumed as part of the acquisition was recorded at its estimated fair value as of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in the process of completing the fair value measurement of the acquired assets, assumed liabilities and noncontrolling interests, and accordingly the amounts above are preliminary. The Company expects to finalize the fair value estimates within the measurement period, which will not exceed one year from the acquisition date.</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revenue and earnings of the acquired business from the acquisition date through March 31, 2026 were not material and have not been separately disclosed. In addition, supplemental unaudited pro forma revenue and earnings information assuming the acquisition occurred at the beginning of the prior calendar year has not been disclosed, as such information would not be meaningful given the timing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Investments Accounted for by the Equity Method and Variable Interest Entities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not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Form 10</w:t>
      </w:r>
      <w:r>
        <w:rPr>
          <w:rFonts w:ascii="Times New Roman;serif" w:hAnsi="Times New Roman;serif"/>
          <w:b w:val="false"/>
          <w:color w:val="000000"/>
          <w:sz w:val="20"/>
        </w:rPr>
        <w:t>-K.</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equity investments in unconsolidated affiliates as of March 31, 2026:</w:t>
      </w:r>
    </w:p>
    <w:tbl>
      <w:tblPr>
        <w:tblW w:w="6082" w:type="dxa"/>
        <w:jc w:val="left"/>
        <w:tblInd w:w="0" w:type="dxa"/>
        <w:tblLayout w:type="fixed"/>
        <w:tblCellMar>
          <w:top w:w="28" w:type="dxa"/>
          <w:left w:w="28" w:type="dxa"/>
          <w:bottom w:w="28" w:type="dxa"/>
          <w:right w:w="28" w:type="dxa"/>
        </w:tblCellMar>
      </w:tblPr>
      <w:tblGrid>
        <w:gridCol w:w="740"/>
        <w:gridCol w:w="647"/>
        <w:gridCol w:w="667"/>
        <w:gridCol w:w="109"/>
        <w:gridCol w:w="109"/>
        <w:gridCol w:w="109"/>
        <w:gridCol w:w="499"/>
        <w:gridCol w:w="499"/>
        <w:gridCol w:w="501"/>
        <w:gridCol w:w="109"/>
        <w:gridCol w:w="109"/>
        <w:gridCol w:w="109"/>
        <w:gridCol w:w="475"/>
        <w:gridCol w:w="1051"/>
        <w:gridCol w:w="349"/>
      </w:tblGrid>
      <w:tr>
        <w:trPr/>
        <w:tc>
          <w:tcPr>
            <w:tcW w:w="7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Investment Balance </w:t>
            </w:r>
            <w:r>
              <w:rPr>
                <w:rFonts w:ascii="Times New Roman;serif" w:hAnsi="Times New Roman;serif"/>
                <w:b/>
                <w:color w:val="000000"/>
                <w:sz w:val="13"/>
              </w:rPr>
              <w:t>(a)</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Cardinal Portfolio JV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Sunlight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GenConn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Juan Mesa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 Company’s maximum exposure to loss is limited to its investment balances.</w:t>
      </w:r>
    </w:p>
    <w:p>
      <w:pPr>
        <w:pStyle w:val="TextBody"/>
        <w:bidi w:val="0"/>
        <w:spacing w:lineRule="auto" w:line="288" w:before="0" w:after="6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Acquired on March 30, 2026. See Note 3, </w:t>
      </w:r>
      <w:r>
        <w:rPr>
          <w:rFonts w:ascii="Times New Roman;serif" w:hAnsi="Times New Roman;serif"/>
          <w:b w:val="false"/>
          <w:i/>
          <w:color w:val="000000"/>
          <w:sz w:val="16"/>
        </w:rPr>
        <w:t>Acquisitions</w:t>
      </w:r>
      <w:r>
        <w:rPr>
          <w:rFonts w:ascii="Times New Roman;serif" w:hAnsi="Times New Roman;serif"/>
          <w:b w:val="false"/>
          <w:color w:val="000000"/>
          <w:sz w:val="16"/>
        </w:rPr>
        <w:t>, for further discussion.</w:t>
      </w:r>
    </w:p>
    <w:p>
      <w:pPr>
        <w:pStyle w:val="TextBody"/>
        <w:bidi w:val="0"/>
        <w:spacing w:lineRule="auto" w:line="288" w:before="0" w:after="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GenConn is a VIE.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pro-rata share of non-recourse debt held by unconsolidated affiliates was $367 million as of March 31,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further described under Item 15 — Note 5,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to the consolidated financial statements included in the Company’s 2025 Form 10-K, the Company has a controlling financial interest in certain entities which have been identified as VIEs under ASC 810, </w:t>
      </w:r>
      <w:r>
        <w:rPr>
          <w:rFonts w:ascii="Times New Roman;serif" w:hAnsi="Times New Roman;serif"/>
          <w:b w:val="false"/>
          <w:i/>
          <w:color w:val="000000"/>
          <w:sz w:val="20"/>
        </w:rPr>
        <w:t>Consolidation</w:t>
      </w:r>
      <w:r>
        <w:rPr>
          <w:rFonts w:ascii="Times New Roman;serif" w:hAnsi="Times New Roman;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activity during the three months ended March 31, 2026 related to the Company’s consolidated VIEs:</w:t>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Palisade Plains Partnership </w:t>
      </w:r>
      <w:r>
        <w:rPr>
          <w:color w:val="000000"/>
          <w:shd w:fill="FFFFFF" w:val="clear"/>
        </w:rPr>
        <w:t xml:space="preserve">— </w:t>
      </w:r>
      <w:r>
        <w:rPr>
          <w:rFonts w:ascii="Times New Roman;serif" w:hAnsi="Times New Roman;serif"/>
          <w:b w:val="false"/>
          <w:color w:val="000000"/>
          <w:sz w:val="20"/>
          <w:shd w:fill="FFFFFF" w:val="clear"/>
        </w:rPr>
        <w:t>On February 19, 2026, Clearway Renew contributed its rights and interests in certain transformer supply agreements to Palisade Plains Development Partnership LLC, or Palisade Plains Partnership, an indirect subsidiary of the Company, in exchange for Class A membership interests. In connection with the transaction, Clearway Renew contributed $6 million for deposits related to the future delivery of equipment, which is included in other non-current assets on the Company’s consolidated balance sheet, and received a distribution of $5 million. The Class A membership interests held by Clearway Renew are reflected as redeemable noncontrolling interest on the Company’s consolidated balance sheet, as the arrangement provides Clearway Renew with the right to redeem their interests in the partnership for cash or other assets at a point in time. Palisade Plains Partnership is a VIE that indirectly owns the Goat Mountain wind facility and whose purpose is to carry out the development, construction and completion of the repowering of the facility. Palisade Plains Development Partnership Holdco LLC, an indirect subsidiary of the Company, consolidates Palisade Plains Partnership as primary beneficiary through its Class B membership interests, which entitles the Company to 99% of distributable cash.</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for the Company’s consolidated VIEs consisted of the following:</w:t>
      </w:r>
    </w:p>
    <w:tbl>
      <w:tblPr>
        <w:tblW w:w="5787" w:type="dxa"/>
        <w:jc w:val="left"/>
        <w:tblInd w:w="0" w:type="dxa"/>
        <w:tblLayout w:type="fixed"/>
        <w:tblCellMar>
          <w:top w:w="28" w:type="dxa"/>
          <w:left w:w="28" w:type="dxa"/>
          <w:bottom w:w="28" w:type="dxa"/>
          <w:right w:w="28" w:type="dxa"/>
        </w:tblCellMar>
      </w:tblPr>
      <w:tblGrid>
        <w:gridCol w:w="936"/>
        <w:gridCol w:w="820"/>
        <w:gridCol w:w="824"/>
        <w:gridCol w:w="291"/>
        <w:gridCol w:w="849"/>
        <w:gridCol w:w="150"/>
        <w:gridCol w:w="109"/>
        <w:gridCol w:w="109"/>
        <w:gridCol w:w="109"/>
        <w:gridCol w:w="342"/>
        <w:gridCol w:w="999"/>
        <w:gridCol w:w="249"/>
      </w:tblGrid>
      <w:tr>
        <w:trPr/>
        <w:tc>
          <w:tcPr>
            <w:tcW w:w="93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 Fair Value of Financial Instruments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Accounting under ASC 820</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recorded financial instruments not carried at fair market value or that does not approximate fair value are as follows:</w:t>
      </w:r>
    </w:p>
    <w:tbl>
      <w:tblPr>
        <w:tblW w:w="10205" w:type="dxa"/>
        <w:jc w:val="left"/>
        <w:tblInd w:w="0" w:type="dxa"/>
        <w:tblLayout w:type="fixed"/>
        <w:tblCellMar>
          <w:top w:w="28" w:type="dxa"/>
          <w:left w:w="28" w:type="dxa"/>
          <w:bottom w:w="28" w:type="dxa"/>
          <w:right w:w="28" w:type="dxa"/>
        </w:tblCellMar>
      </w:tblPr>
      <w:tblGrid>
        <w:gridCol w:w="1639"/>
        <w:gridCol w:w="1437"/>
        <w:gridCol w:w="1446"/>
        <w:gridCol w:w="507"/>
        <w:gridCol w:w="615"/>
        <w:gridCol w:w="262"/>
        <w:gridCol w:w="122"/>
        <w:gridCol w:w="122"/>
        <w:gridCol w:w="122"/>
        <w:gridCol w:w="324"/>
        <w:gridCol w:w="390"/>
        <w:gridCol w:w="164"/>
        <w:gridCol w:w="109"/>
        <w:gridCol w:w="109"/>
        <w:gridCol w:w="109"/>
        <w:gridCol w:w="507"/>
        <w:gridCol w:w="615"/>
        <w:gridCol w:w="262"/>
        <w:gridCol w:w="138"/>
        <w:gridCol w:w="138"/>
        <w:gridCol w:w="138"/>
        <w:gridCol w:w="316"/>
        <w:gridCol w:w="380"/>
        <w:gridCol w:w="234"/>
      </w:tblGrid>
      <w:tr>
        <w:trPr/>
        <w:tc>
          <w:tcPr>
            <w:tcW w:w="163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2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52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52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 — affiliate</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current portion — external </w:t>
            </w:r>
            <w:r>
              <w:rPr>
                <w:rFonts w:ascii="Times New Roman;serif" w:hAnsi="Times New Roman;serif"/>
                <w:b w:val="false"/>
                <w:color w:val="000000"/>
                <w:sz w:val="13"/>
              </w:rPr>
              <w:t>(a)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Excludes net debt issuance costs, which are recorded as a reduction to long-term debt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843"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89"/>
        <w:gridCol w:w="114"/>
        <w:gridCol w:w="109"/>
        <w:gridCol w:w="109"/>
        <w:gridCol w:w="109"/>
        <w:gridCol w:w="211"/>
        <w:gridCol w:w="466"/>
        <w:gridCol w:w="109"/>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Energy-related commodity contracts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financial instruments </w:t>
            </w:r>
            <w:r>
              <w:rPr>
                <w:rFonts w:ascii="Times New Roman;serif" w:hAnsi="Times New Roman;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Energy-related commodity contracts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There were no derivative assets or liabilities classified as Level 1 as of March 31, 2026 and December 31, 2025.</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Includes short-term backbone transportation service contracts classified as Level 2 and heat rate call option contracts classified as Level 3.</w:t>
      </w:r>
    </w:p>
    <w:p>
      <w:pPr>
        <w:pStyle w:val="TextBody"/>
        <w:bidi w:val="0"/>
        <w:spacing w:lineRule="auto" w:line="288" w:before="0" w:after="6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Includes SREC contract.</w:t>
      </w:r>
    </w:p>
    <w:p>
      <w:pPr>
        <w:pStyle w:val="TextBody"/>
        <w:bidi w:val="0"/>
        <w:spacing w:lineRule="auto" w:line="288" w:before="0" w:after="18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Includes long-term power commodity contracts and heat rate call option contracts classified as Level 3. As of March 31, 2026 and December 31, 2025, $178 million and $330 million, respectively, related to long-term power commodity contracts, and $4 million and $3 million, respectively, related to heat rate call option contracts.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949"/>
        <w:gridCol w:w="1679"/>
        <w:gridCol w:w="1686"/>
        <w:gridCol w:w="109"/>
        <w:gridCol w:w="109"/>
        <w:gridCol w:w="109"/>
        <w:gridCol w:w="109"/>
        <w:gridCol w:w="109"/>
        <w:gridCol w:w="356"/>
        <w:gridCol w:w="316"/>
        <w:gridCol w:w="612"/>
        <w:gridCol w:w="1541"/>
        <w:gridCol w:w="316"/>
        <w:gridCol w:w="109"/>
        <w:gridCol w:w="109"/>
        <w:gridCol w:w="109"/>
        <w:gridCol w:w="211"/>
        <w:gridCol w:w="509"/>
        <w:gridCol w:w="158"/>
      </w:tblGrid>
      <w:tr>
        <w:trPr/>
        <w:tc>
          <w:tcPr>
            <w:tcW w:w="194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05" w:type="dxa"/>
            <w:gridSpan w:val="6"/>
            <w:tcBorders/>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c>
          <w:tcPr>
            <w:tcW w:w="1205" w:type="dxa"/>
            <w:gridSpan w:val="6"/>
            <w:tcBorders/>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Transfers out of Level 3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gains (losses) for the period included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Ending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included in earnings for derivatives and other financial instruments held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 xml:space="preserve">On March 27, 2026, the Company restructured the Mesquite Sky energy-related commodity contract, resulting in the derecognition of the related derivative liabilities and its classification as an in-substance financing.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March 31, 2026, contracts valued with prices provided by models and other valuation techniques make up 4% of derivative assets, 90% of derivative liabilities and 100% of other financial instruments.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99"/>
        <w:gridCol w:w="587"/>
        <w:gridCol w:w="589"/>
        <w:gridCol w:w="196"/>
        <w:gridCol w:w="406"/>
        <w:gridCol w:w="109"/>
        <w:gridCol w:w="263"/>
        <w:gridCol w:w="565"/>
        <w:gridCol w:w="148"/>
        <w:gridCol w:w="422"/>
        <w:gridCol w:w="422"/>
        <w:gridCol w:w="424"/>
        <w:gridCol w:w="762"/>
        <w:gridCol w:w="762"/>
        <w:gridCol w:w="764"/>
        <w:gridCol w:w="210"/>
        <w:gridCol w:w="597"/>
        <w:gridCol w:w="116"/>
        <w:gridCol w:w="217"/>
        <w:gridCol w:w="616"/>
        <w:gridCol w:w="120"/>
        <w:gridCol w:w="258"/>
        <w:gridCol w:w="736"/>
        <w:gridCol w:w="217"/>
      </w:tblGrid>
      <w:tr>
        <w:trPr/>
        <w:tc>
          <w:tcPr>
            <w:tcW w:w="6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Input/Range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MMBtu)</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Forecast annual generation levels of certain DG solar facilities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60,047 MWh</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120,094 MWh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108,791 MWh</w:t>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impact on the fair value measurements to increases/(decreases) in significant unobservable inputs as of March 31, 2026:</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Fair Value Measurement</w:t>
            </w:r>
          </w:p>
        </w:tc>
      </w:tr>
      <w:tr>
        <w:trPr/>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2026, the non-performance reserve was a $7 million gain recorded primarily to total operating revenues in the consolidated statements of operations. It is possible that future market prices could vary from those used in recording assets and liabilities and such variations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credit risk discussion as disclosed under Item 15 —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 xml:space="preserve">consolidated financial statements included in the </w:t>
      </w:r>
      <w:r>
        <w:rPr>
          <w:rFonts w:ascii="Times New Roman;serif" w:hAnsi="Times New Roman;serif"/>
          <w:b w:val="false"/>
          <w:color w:val="231F20"/>
          <w:sz w:val="20"/>
        </w:rPr>
        <w:t xml:space="preserve">Company’s </w:t>
      </w:r>
      <w:r>
        <w:rPr>
          <w:rFonts w:ascii="Times New Roman;serif" w:hAnsi="Times New Roman;serif"/>
          <w:b w:val="false"/>
          <w:color w:val="000000"/>
          <w:sz w:val="20"/>
        </w:rPr>
        <w:t>2025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 Derivative Instruments and Hedging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in order to hedge the variability of expected future cash interest payments that may arise in connection with its non-recourse debt or a potential refinancing of its Senior Notes. As of March 31, 2026, the Company had interest rate derivative instruments extending through 2036,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Energy-Related Commodity Contracts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energy-related derivative instruments extending through 2033. At March 31, 2026, these contracts were not designated as cash flow or fair value hedges. </w:t>
      </w:r>
    </w:p>
    <w:p>
      <w:pPr>
        <w:pStyle w:val="TextBody"/>
        <w:bidi w:val="0"/>
        <w:spacing w:lineRule="auto" w:line="288" w:before="0" w:after="180"/>
        <w:ind w:left="0" w:right="0" w:firstLine="90"/>
        <w:jc w:val="both"/>
        <w:rPr>
          <w:rFonts w:ascii="Times New Roman;serif" w:hAnsi="Times New Roman;serif"/>
          <w:b/>
          <w:i/>
          <w:color w:val="000000"/>
          <w:sz w:val="20"/>
        </w:rPr>
      </w:pPr>
      <w:r>
        <w:rPr>
          <w:rFonts w:ascii="Times New Roman;serif" w:hAnsi="Times New Roman;serif"/>
          <w:b/>
          <w:i/>
          <w:color w:val="000000"/>
          <w:sz w:val="20"/>
        </w:rPr>
        <w:t>Volumetric Underlying Derivative Transactions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notional volume buy/(sell) of the Company’s open derivative transactions broken out by commodity:</w:t>
      </w:r>
    </w:p>
    <w:tbl>
      <w:tblPr>
        <w:tblW w:w="5333"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284"/>
        <w:gridCol w:w="829"/>
        <w:gridCol w:w="146"/>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510"/>
        <w:gridCol w:w="1290"/>
        <w:gridCol w:w="1294"/>
        <w:gridCol w:w="314"/>
        <w:gridCol w:w="693"/>
        <w:gridCol w:w="161"/>
        <w:gridCol w:w="109"/>
        <w:gridCol w:w="109"/>
        <w:gridCol w:w="109"/>
        <w:gridCol w:w="367"/>
        <w:gridCol w:w="812"/>
        <w:gridCol w:w="192"/>
        <w:gridCol w:w="109"/>
        <w:gridCol w:w="109"/>
        <w:gridCol w:w="109"/>
        <w:gridCol w:w="314"/>
        <w:gridCol w:w="693"/>
        <w:gridCol w:w="161"/>
        <w:gridCol w:w="109"/>
        <w:gridCol w:w="109"/>
        <w:gridCol w:w="109"/>
        <w:gridCol w:w="359"/>
        <w:gridCol w:w="794"/>
        <w:gridCol w:w="270"/>
      </w:tblGrid>
      <w:tr>
        <w:trPr/>
        <w:tc>
          <w:tcPr>
            <w:tcW w:w="151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Derivative 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Cash Flow Hedges: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long-term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Cash Flow Hedges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present derivative assets and liabilities on the balance sheet on a trade-by-trade basis and does not offset amounts at the counterparty level. As of March 31, 2026 and December 31, 2025,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25"/>
        <w:gridCol w:w="1056"/>
        <w:gridCol w:w="1012"/>
        <w:gridCol w:w="763"/>
        <w:gridCol w:w="1902"/>
        <w:gridCol w:w="382"/>
        <w:gridCol w:w="156"/>
        <w:gridCol w:w="156"/>
        <w:gridCol w:w="156"/>
        <w:gridCol w:w="480"/>
        <w:gridCol w:w="908"/>
        <w:gridCol w:w="237"/>
        <w:gridCol w:w="156"/>
        <w:gridCol w:w="156"/>
        <w:gridCol w:w="156"/>
        <w:gridCol w:w="303"/>
        <w:gridCol w:w="770"/>
        <w:gridCol w:w="231"/>
      </w:tblGrid>
      <w:tr>
        <w:trPr/>
        <w:tc>
          <w:tcPr>
            <w:tcW w:w="122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March 31, 2026</w:t>
            </w:r>
          </w:p>
        </w:tc>
        <w:tc>
          <w:tcPr>
            <w:tcW w:w="3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3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6912"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on the Company’s accumulated OCI (OCL) balance attributable to interest rate swaps designated as cash flow hedge derivatives:</w:t>
      </w:r>
    </w:p>
    <w:tbl>
      <w:tblPr>
        <w:tblW w:w="10205" w:type="dxa"/>
        <w:jc w:val="left"/>
        <w:tblInd w:w="0" w:type="dxa"/>
        <w:tblLayout w:type="fixed"/>
        <w:tblCellMar>
          <w:top w:w="28" w:type="dxa"/>
          <w:left w:w="28" w:type="dxa"/>
          <w:bottom w:w="28" w:type="dxa"/>
          <w:right w:w="28" w:type="dxa"/>
        </w:tblCellMar>
      </w:tblPr>
      <w:tblGrid>
        <w:gridCol w:w="2502"/>
        <w:gridCol w:w="2160"/>
        <w:gridCol w:w="2173"/>
        <w:gridCol w:w="109"/>
        <w:gridCol w:w="109"/>
        <w:gridCol w:w="196"/>
        <w:gridCol w:w="196"/>
        <w:gridCol w:w="196"/>
        <w:gridCol w:w="196"/>
        <w:gridCol w:w="380"/>
        <w:gridCol w:w="733"/>
        <w:gridCol w:w="196"/>
        <w:gridCol w:w="109"/>
        <w:gridCol w:w="109"/>
        <w:gridCol w:w="109"/>
        <w:gridCol w:w="211"/>
        <w:gridCol w:w="361"/>
        <w:gridCol w:w="160"/>
      </w:tblGrid>
      <w:tr>
        <w:trPr/>
        <w:tc>
          <w:tcPr>
            <w:tcW w:w="250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59" w:type="dxa"/>
            <w:gridSpan w:val="6"/>
            <w:tcBorders/>
          </w:tcPr>
          <w:p>
            <w:pPr>
              <w:pStyle w:val="TableContents"/>
              <w:bidi w:val="0"/>
              <w:spacing w:before="0" w:after="283"/>
              <w:jc w:val="left"/>
              <w:rPr>
                <w:sz w:val="4"/>
                <w:szCs w:val="4"/>
              </w:rPr>
            </w:pPr>
            <w:r>
              <w:rPr>
                <w:sz w:val="4"/>
                <w:szCs w:val="4"/>
              </w:rPr>
            </w:r>
          </w:p>
        </w:tc>
      </w:tr>
      <w:tr>
        <w:trPr/>
        <w:tc>
          <w:tcPr>
            <w:tcW w:w="6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Rosamond South I Drop Down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accumulated OCI/OCL to income due to realization of previously deferred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of cash flow hedge accounting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attributable to Clearway Energy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expected to be realized from OCI during the next 12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Represents $2 million attributable to the Company and $2 million attributable to noncontrolling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OCI/OCL into income are recorded to interest expense.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Derivative Instruments on the Consolidated Statements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Mark-to-market gains/(losses) related to the Company’s derivatives are recorded in the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2619"/>
        <w:gridCol w:w="2178"/>
        <w:gridCol w:w="2186"/>
        <w:gridCol w:w="109"/>
        <w:gridCol w:w="109"/>
        <w:gridCol w:w="177"/>
        <w:gridCol w:w="177"/>
        <w:gridCol w:w="177"/>
        <w:gridCol w:w="177"/>
        <w:gridCol w:w="344"/>
        <w:gridCol w:w="662"/>
        <w:gridCol w:w="177"/>
        <w:gridCol w:w="109"/>
        <w:gridCol w:w="109"/>
        <w:gridCol w:w="109"/>
        <w:gridCol w:w="211"/>
        <w:gridCol w:w="412"/>
        <w:gridCol w:w="163"/>
      </w:tblGrid>
      <w:tr>
        <w:trPr/>
        <w:tc>
          <w:tcPr>
            <w:tcW w:w="261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113" w:type="dxa"/>
            <w:gridSpan w:val="6"/>
            <w:tcBorders/>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Total operating revenues)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Relates to long-term energy related commodity contracts at Elbow Creek, Mesquite Star, Mt. Storm, Langford and Mesquite Sky and heat rate call option energy-related commodity contracts at El Segundo, Marsh Landing and Walnut Creek.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 Long-term Debt</w:t>
      </w:r>
    </w:p>
    <w:p>
      <w:pPr>
        <w:pStyle w:val="TextBody"/>
        <w:bidi w:val="0"/>
        <w:spacing w:lineRule="auto" w:line="288" w:before="0" w:after="60"/>
        <w:ind w:left="0" w:right="0" w:firstLine="450"/>
        <w:jc w:val="both"/>
        <w:rPr/>
      </w:pPr>
      <w:r>
        <w:rPr>
          <w:rFonts w:ascii="Times New Roman;serif" w:hAnsi="Times New Roman;serif"/>
          <w:b w:val="false"/>
          <w:color w:val="000000"/>
          <w:sz w:val="20"/>
        </w:rPr>
        <w:t xml:space="preserve">This note should be read in conjunction with the complete description under Item 15 —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506"/>
        <w:gridCol w:w="1301"/>
        <w:gridCol w:w="1305"/>
        <w:gridCol w:w="109"/>
        <w:gridCol w:w="109"/>
        <w:gridCol w:w="109"/>
        <w:gridCol w:w="326"/>
        <w:gridCol w:w="326"/>
        <w:gridCol w:w="328"/>
        <w:gridCol w:w="109"/>
        <w:gridCol w:w="109"/>
        <w:gridCol w:w="109"/>
        <w:gridCol w:w="246"/>
        <w:gridCol w:w="699"/>
        <w:gridCol w:w="136"/>
        <w:gridCol w:w="109"/>
        <w:gridCol w:w="109"/>
        <w:gridCol w:w="109"/>
        <w:gridCol w:w="276"/>
        <w:gridCol w:w="785"/>
        <w:gridCol w:w="153"/>
        <w:gridCol w:w="109"/>
        <w:gridCol w:w="109"/>
        <w:gridCol w:w="109"/>
        <w:gridCol w:w="326"/>
        <w:gridCol w:w="282"/>
        <w:gridCol w:w="630"/>
        <w:gridCol w:w="109"/>
        <w:gridCol w:w="163"/>
      </w:tblGrid>
      <w:tr>
        <w:trPr/>
        <w:tc>
          <w:tcPr>
            <w:tcW w:w="150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color w:val="000000"/>
              </w:rPr>
              <w:t xml:space="preserve"> </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Note with Clearway,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3.750% - 5.750%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Clearway Energy LLC and Clearway Energy Operating LLC Revolving Credit Facility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S+1.750%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Non-recourse facility-level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2.339% - 8.000%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S+1.375% - 2.750%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premiums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As of March 31, 2026, S+ equals SOFR plus x%.</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Applicable rate is determined by the borrower leverage ratio, as defined in the credit agreement.</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Premiums relate to the 2028 Senior Notes and the debt assumed in the Cardinal Portfolio acquisition.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$1,256 million in letters of credit outstanding, $151 million of which is related to the Company’s revolving credit facility.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financing arrangements listed above contain certain covenants, including financial covenants that the Company is required to be in compliance with during the term of the respective arrangement. As of March 31, 2026, the Company was in compliance with all of the required covenants.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below describes material changes to or additions of long-term debt for the three months ended March 31,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2034 Senior Notes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Facility-level Debt</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Honeycomb Portfolio</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LLC, or Honeycomb TargetCo, from Clearway Renew on October 15, 2025, which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$234 million tax equity bridge loan and to pay $14 million in associated fees with the remaining $67 million distributed to CEG. During 2026, the Company borrowed an additional $71 million in construction loans, and on May 1, 2026, the total outstanding construction loans were converted to a term loan in the amount of $327 million that matures on May 1,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Cardinal Portfolio</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February 5, 2026, the Company, through its indirect subsidiary, Cardinal Investment Holdco LLC, entered into a financing arrangement that provides for a term loan of up to $100 million and $119 million in letters of credit in support of debt service and facility-level obligations. On March 30, 2026,</w:t>
      </w:r>
      <w:r>
        <w:rPr>
          <w:color w:val="000000"/>
        </w:rPr>
        <w:t xml:space="preserve"> </w:t>
      </w:r>
      <w:r>
        <w:rPr>
          <w:rFonts w:ascii="Times New Roman;serif" w:hAnsi="Times New Roman;serif"/>
          <w:b w:val="false"/>
          <w:color w:val="000000"/>
          <w:sz w:val="20"/>
        </w:rPr>
        <w:t xml:space="preserve">the Company borrowed $100 million to partially fund the acquisition of the Cardinal Portfolio,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financing is supported by the Company’s interest in the Cardinal Portfolio. The term loan bears interest at a rate of SOFR plus 2.00% per annum and matures on March 29, 2027.</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connection with the acquisition of the Cardinal Portfolio on March 30, 2026, as further described in Note 3, </w:t>
      </w:r>
      <w:r>
        <w:rPr>
          <w:rFonts w:ascii="Times New Roman;serif" w:hAnsi="Times New Roman;serif"/>
          <w:b w:val="false"/>
          <w:i/>
          <w:color w:val="000000"/>
          <w:sz w:val="20"/>
        </w:rPr>
        <w:t>Acquisitions</w:t>
      </w:r>
      <w:r>
        <w:rPr>
          <w:rFonts w:ascii="Times New Roman;serif" w:hAnsi="Times New Roman;serif"/>
          <w:b w:val="false"/>
          <w:color w:val="000000"/>
          <w:sz w:val="20"/>
        </w:rPr>
        <w:t>, the Company assumed existing facility</w:t>
        <w:noBreakHyphen/>
        <w:t>level debt associated with certain of the acquired facilities. The assumed debt is secured by the respective facilities and is non</w:t>
        <w:noBreakHyphen/>
        <w:t>recourse to the Company. In accordance with ASC 805, the assumed debt was recorded at its estimated fair value as of the acquisition date. The assumed facility</w:t>
        <w:noBreakHyphen/>
        <w:t>level debt has maturities ranging from 2032 through 2036.</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Mesquite Sky Restructuring</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Interest expense is recognized over the term of the obligation using the effective interest method.</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restructuring, the Company also entered into a 15</w:t>
        <w:noBreakHyphen/>
        <w:t>year PPA with an investment</w:t>
        <w:noBreakHyphen/>
        <w:t>grade counterparty, which replaces the volumetric and price exposure of Mesquite Sky’s energy</w:t>
        <w:noBreakHyphen/>
        <w:t>related commodity contract with more favorable pricing.</w:t>
      </w:r>
    </w:p>
    <w:p>
      <w:pPr>
        <w:pStyle w:val="TextBody"/>
        <w:bidi w:val="0"/>
        <w:spacing w:lineRule="auto" w:line="288" w:before="0" w:after="180"/>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Goat Mountain Repowering</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which consists of a construction loan that converts to a five-year term loan upon the repowering of the facility reaching substantial completion, which is expected to occur in the second half of 2027, as well as bridge loans to be repaid with the proceeds from the tax equity investor. The construction loan and bridge loans bear interest at a rate of SOFR plus 1.50% and mature on the term conversion date. The Company’s initial borrowing of $140 million was utilized to pay $88 million under the development services agreement, as further described in Note 10,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$15 million in debt issuance costs that were deferred and $5 million in capital expenditures. Under the financing arrangement, the Company borrowed $151 million through March 31, 2026.</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Pine Forest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15, 2026, the Company repaid the $231 million outstanding on the tax credit transfer bridge loan utilizing the proceeds received from the sale of transferable ITCs and distributed the remaining $51 million to CEG.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Members’ Equity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Class A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2026, at Clearway Inc.’s Annual Meeting of Stockholders, Clearway, Inc.’s stockholders approved the Amended Charter, pursuant to which each outstanding share of Clearway, Inc.’s Class A common stock was converted into one share of Clearway Inc.’s Class C common stock, effective May 1, 2026, referred to as the Class A Conversion. As a result of the Class A Conversion, Clearway, Inc. no longer has any Class A common stock.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Class A Conversion, Clearway, Inc. and CEG entered into a Fifth Amended and Restated Limited Liability Company Agreement of the Company, pursuant to which, effective concurrently with the Class A Conversion, each outstanding Class A unit of the Company was converted into one Class C unit of the Company. As a result of such conversion, the Company no longer has any Class A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conversion of the Company’s Class A Units into Class C Units did not affect the economic interests of the Company’s unit holders, including distribution and liquidation rights. Following such conversion,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Direct Stock Purchase Plan, or DSPP</w:t>
      </w:r>
    </w:p>
    <w:p>
      <w:pPr>
        <w:pStyle w:val="TextBody"/>
        <w:bidi w:val="0"/>
        <w:spacing w:lineRule="auto" w:line="288" w:before="0" w:after="180"/>
        <w:ind w:left="0" w:right="0" w:firstLine="450"/>
        <w:jc w:val="both"/>
        <w:rPr/>
      </w:pPr>
      <w:r>
        <w:rPr>
          <w:rFonts w:ascii="Times New Roman;serif" w:hAnsi="Times New Roman;serif"/>
          <w:b w:val="false"/>
          <w:color w:val="231F20"/>
          <w:sz w:val="20"/>
        </w:rPr>
        <w:t>As previously disclosed in the Company’s Annual Report on Form 10</w:t>
        <w:noBreakHyphen/>
        <w:t xml:space="preserve">K for the year ended </w:t>
      </w:r>
      <w:r>
        <w:rPr>
          <w:rFonts w:ascii="Times New Roman;serif" w:hAnsi="Times New Roman;serif"/>
          <w:b w:val="false"/>
          <w:color w:val="000000"/>
          <w:sz w:val="20"/>
        </w:rPr>
        <w:t>December 31, 2025</w:t>
      </w:r>
      <w:r>
        <w:rPr>
          <w:rFonts w:ascii="Times New Roman;serif" w:hAnsi="Times New Roman;serif"/>
          <w:b w:val="false"/>
          <w:color w:val="231F20"/>
          <w:sz w:val="20"/>
        </w:rPr>
        <w:t>, Clearway, Inc. maintains a DSPP, pursuant to which it may issue shares of its Class C common stock, including through waiver arrangements.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During January 2026, Clearway, Inc. issued 1,445,244 shares of its Class C common stock under the DSPP for gross proceeds of $50 million and incurred fees of less than $1 million, which were exchanged for 1,445,244 of the Company’s Class C units. As of </w:t>
      </w:r>
      <w:r>
        <w:rPr>
          <w:rFonts w:ascii="Times New Roman;serif" w:hAnsi="Times New Roman;serif"/>
          <w:b w:val="false"/>
          <w:color w:val="000000"/>
          <w:sz w:val="20"/>
        </w:rPr>
        <w:t>March 31, 2026</w:t>
      </w:r>
      <w:r>
        <w:rPr>
          <w:rFonts w:ascii="Times New Roman;serif" w:hAnsi="Times New Roman;serif"/>
          <w:b w:val="false"/>
          <w:color w:val="231F20"/>
          <w:sz w:val="20"/>
        </w:rPr>
        <w:t>, 1,061,554 shares of Clearway, Inc.’s Class C common stock remained available for issuance under the DSPP.</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distributions paid on the Company’s Class A, B, C and D units during the three months ended March 31, 2026:</w:t>
      </w:r>
    </w:p>
    <w:tbl>
      <w:tblPr>
        <w:tblW w:w="5912"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109"/>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Class A Conversion discussed above, the Company no longer has any Class A units outstanding, and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the Company declared a distribution on its Class B, Class C, including Class C units that were received in the Class A Conversion, and Class D units of $0.4676 per unit payable on June 15, 2026 to unit holders of record as of June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 Segment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tbl>
      <w:tblPr>
        <w:tblW w:w="10205" w:type="dxa"/>
        <w:jc w:val="left"/>
        <w:tblInd w:w="0" w:type="dxa"/>
        <w:tblLayout w:type="fixed"/>
        <w:tblCellMar>
          <w:top w:w="28" w:type="dxa"/>
          <w:left w:w="28" w:type="dxa"/>
          <w:bottom w:w="28" w:type="dxa"/>
          <w:right w:w="28" w:type="dxa"/>
        </w:tblCellMar>
      </w:tblPr>
      <w:tblGrid>
        <w:gridCol w:w="1820"/>
        <w:gridCol w:w="1383"/>
        <w:gridCol w:w="1358"/>
        <w:gridCol w:w="276"/>
        <w:gridCol w:w="808"/>
        <w:gridCol w:w="143"/>
        <w:gridCol w:w="109"/>
        <w:gridCol w:w="109"/>
        <w:gridCol w:w="109"/>
        <w:gridCol w:w="278"/>
        <w:gridCol w:w="953"/>
        <w:gridCol w:w="144"/>
        <w:gridCol w:w="109"/>
        <w:gridCol w:w="109"/>
        <w:gridCol w:w="109"/>
        <w:gridCol w:w="259"/>
        <w:gridCol w:w="575"/>
        <w:gridCol w:w="135"/>
        <w:gridCol w:w="109"/>
        <w:gridCol w:w="109"/>
        <w:gridCol w:w="109"/>
        <w:gridCol w:w="211"/>
        <w:gridCol w:w="721"/>
        <w:gridCol w:w="160"/>
      </w:tblGrid>
      <w:tr>
        <w:trPr/>
        <w:tc>
          <w:tcPr>
            <w:tcW w:w="182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4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Clearway Energy LLC</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1814"/>
        <w:gridCol w:w="1385"/>
        <w:gridCol w:w="1360"/>
        <w:gridCol w:w="276"/>
        <w:gridCol w:w="808"/>
        <w:gridCol w:w="143"/>
        <w:gridCol w:w="109"/>
        <w:gridCol w:w="109"/>
        <w:gridCol w:w="109"/>
        <w:gridCol w:w="278"/>
        <w:gridCol w:w="953"/>
        <w:gridCol w:w="144"/>
        <w:gridCol w:w="109"/>
        <w:gridCol w:w="109"/>
        <w:gridCol w:w="109"/>
        <w:gridCol w:w="259"/>
        <w:gridCol w:w="575"/>
        <w:gridCol w:w="135"/>
        <w:gridCol w:w="109"/>
        <w:gridCol w:w="109"/>
        <w:gridCol w:w="109"/>
        <w:gridCol w:w="211"/>
        <w:gridCol w:w="721"/>
        <w:gridCol w:w="162"/>
      </w:tblGrid>
      <w:tr>
        <w:trPr/>
        <w:tc>
          <w:tcPr>
            <w:tcW w:w="181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Three months ended March 31, 2025 (as revised) </w:t>
            </w:r>
            <w:r>
              <w:rPr>
                <w:rFonts w:ascii="Times New Roman;serif" w:hAnsi="Times New Roman;serif"/>
                <w:b/>
                <w:color w:val="000000"/>
                <w:sz w:val="10"/>
              </w:rPr>
              <w:t>(a)</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(c)</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The following amounts were revised for the Renewables &amp; Storage segment:</w:t>
      </w:r>
    </w:p>
    <w:tbl>
      <w:tblPr>
        <w:tblW w:w="8513" w:type="dxa"/>
        <w:jc w:val="left"/>
        <w:tblInd w:w="0" w:type="dxa"/>
        <w:tblLayout w:type="fixed"/>
        <w:tblCellMar>
          <w:top w:w="28" w:type="dxa"/>
          <w:left w:w="28" w:type="dxa"/>
          <w:bottom w:w="28" w:type="dxa"/>
          <w:right w:w="28" w:type="dxa"/>
        </w:tblCellMar>
      </w:tblPr>
      <w:tblGrid>
        <w:gridCol w:w="1487"/>
        <w:gridCol w:w="1305"/>
        <w:gridCol w:w="1317"/>
        <w:gridCol w:w="467"/>
        <w:gridCol w:w="1105"/>
        <w:gridCol w:w="243"/>
        <w:gridCol w:w="109"/>
        <w:gridCol w:w="109"/>
        <w:gridCol w:w="109"/>
        <w:gridCol w:w="311"/>
        <w:gridCol w:w="533"/>
        <w:gridCol w:w="162"/>
        <w:gridCol w:w="109"/>
        <w:gridCol w:w="109"/>
        <w:gridCol w:w="109"/>
        <w:gridCol w:w="245"/>
        <w:gridCol w:w="506"/>
        <w:gridCol w:w="178"/>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Clearway Energy LLC</w:t>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8"/>
        </w:rPr>
        <w:t>Includes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 Related Party Transactions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13,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Goat Mountain Development Services Agreement with Clearway Renew</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Pursuant to the development services agreement entered into in July 2025, in connection with the closing of the Goat Mountain construction financing on February 27, 2026,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 the Company acquired assets totaling $106 million, consisting of $98 million for deposits related to the future delivery of equipment, which is included in other non-current assets on the Company’s consolidated balance sheet, and $8 million of capital expenditures. Of this amount, $70 million was paid to Clearway Renew on February 27, 2026, with the remaining $36 million outstanding as of March 31, 2026. Also on February 27, 2026, the Company paid Clearway Renew $18 million in fees under the development services agreement. The Company estimates that its total capital investment in the Goat Mountain repowering will be $200 million, subject to closing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O&amp;M Services Agreements by and between the Company and Clearway Renewable Operation &amp; Maintenance LLC</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$21 million for each of the three months ended March 31, 2026 and 2025. Expenses for these services are included in cost of operations in the consolidated statements of operations. There was a balance of $12 million and $8 million due to RENOM as of March 31,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$6 million and $5 million for the three months ended March 31, 2026 and 2025, respectively. Expenses for these services are included in cost of operations in the consolidated statements of operations. There was a balance of $4 million and $3 million due to CEG as of March 31, 2026 and December 31, 2025,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CEG Master Services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such as human resources, information systems, cybersecurity, external affairs, legal, risk management, internal audit, accounting, procurement, tax and treasury services, in exchange for the payment of fees in respect of such services, which are settled on a quarterly basis. The Company also directly bears labor costs for certain CEG employees who perform work on behalf of the Company.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expenses under the CEG Master Services Agreement of $7 million and $6 million for the three months ended March 31, 2026 and 2025, respectively. Expenses for these services are included in general and administrative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Revision of Previously Issued Unaudited Financial Information</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discussed in Item 15 — Note 16, </w:t>
      </w:r>
      <w:r>
        <w:rPr>
          <w:rFonts w:ascii="Times New Roman;serif" w:hAnsi="Times New Roman;serif"/>
          <w:b w:val="false"/>
          <w:i/>
          <w:color w:val="000000"/>
          <w:sz w:val="20"/>
        </w:rPr>
        <w:t>Revision of Previously Issued Unaudited Financial Information (Unaudited)</w:t>
      </w:r>
      <w:r>
        <w:rPr>
          <w:rFonts w:ascii="Times New Roman;serif" w:hAnsi="Times New Roman;serif"/>
          <w:b w:val="false"/>
          <w:color w:val="000000"/>
          <w:sz w:val="20"/>
        </w:rPr>
        <w:t>, 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corrections to the impacted financial statement line items is presented below:</w:t>
      </w:r>
    </w:p>
    <w:tbl>
      <w:tblPr>
        <w:tblW w:w="8974" w:type="dxa"/>
        <w:jc w:val="left"/>
        <w:tblInd w:w="0" w:type="dxa"/>
        <w:tblLayout w:type="fixed"/>
        <w:tblCellMar>
          <w:top w:w="28" w:type="dxa"/>
          <w:left w:w="28" w:type="dxa"/>
          <w:bottom w:w="28" w:type="dxa"/>
          <w:right w:w="28" w:type="dxa"/>
        </w:tblCellMar>
      </w:tblPr>
      <w:tblGrid>
        <w:gridCol w:w="1734"/>
        <w:gridCol w:w="1520"/>
        <w:gridCol w:w="1531"/>
        <w:gridCol w:w="109"/>
        <w:gridCol w:w="109"/>
        <w:gridCol w:w="109"/>
        <w:gridCol w:w="413"/>
        <w:gridCol w:w="1173"/>
        <w:gridCol w:w="229"/>
        <w:gridCol w:w="277"/>
        <w:gridCol w:w="574"/>
        <w:gridCol w:w="155"/>
        <w:gridCol w:w="225"/>
        <w:gridCol w:w="639"/>
        <w:gridCol w:w="177"/>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March 31, 2025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Clearway Energy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 of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Clearway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Members’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Segment Reporting</w:t>
      </w:r>
      <w:r>
        <w:rPr>
          <w:rFonts w:ascii="Times New Roman;serif" w:hAnsi="Times New Roman;serif"/>
          <w:b w:val="false"/>
          <w:color w:val="000000"/>
          <w:sz w:val="20"/>
        </w:rPr>
        <w:t>, for more details related to the revisions included in the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you read this discussion and analysis, refer to the Company’s consolidated financial statements to this Form 10-Q, which present the results of operations for the three months ended March 31, 2026 and 2025. Also refer to the Company’s 2025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erif" w:hAnsi="Times New Roman;serif"/>
          <w:b w:val="false"/>
          <w:color w:val="231F20"/>
          <w:sz w:val="20"/>
        </w:rPr>
        <w:t>Results of operations, including an explanation of significant differences between the periods in the specific line items of the consolidated statements of operations;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erif" w:hAnsi="Times New Roman;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Introduction and Overview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13.6 GW of gross capacity in 27 states, including approximately 10.8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 xml:space="preserve">of the Company’s revenues are derived from long-term contractual arrangements for the output or capacity from these assets. The weighted average remaining contract duration of the Company’s Renewables &amp; Storage segment offtake agreements was approximately 12 years </w:t>
      </w: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based on CAFD.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operating assets are comprised of the following facilities:</w:t>
      </w:r>
    </w:p>
    <w:tbl>
      <w:tblPr>
        <w:tblW w:w="9855"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217"/>
        <w:gridCol w:w="217"/>
        <w:gridCol w:w="482"/>
        <w:gridCol w:w="109"/>
        <w:gridCol w:w="109"/>
        <w:gridCol w:w="109"/>
        <w:gridCol w:w="277"/>
        <w:gridCol w:w="279"/>
        <w:gridCol w:w="181"/>
        <w:gridCol w:w="109"/>
        <w:gridCol w:w="109"/>
        <w:gridCol w:w="109"/>
        <w:gridCol w:w="294"/>
        <w:gridCol w:w="262"/>
        <w:gridCol w:w="229"/>
        <w:gridCol w:w="109"/>
        <w:gridCol w:w="109"/>
        <w:gridCol w:w="109"/>
        <w:gridCol w:w="844"/>
        <w:gridCol w:w="844"/>
        <w:gridCol w:w="847"/>
        <w:gridCol w:w="109"/>
        <w:gridCol w:w="109"/>
        <w:gridCol w:w="109"/>
        <w:gridCol w:w="324"/>
        <w:gridCol w:w="324"/>
        <w:gridCol w:w="32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Flexible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Buckthorn Solar</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Catalina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w:t>
            </w:r>
            <w:r>
              <w:rPr>
                <w:rFonts w:ascii="Times New Roman;serif" w:hAnsi="Times New Roman;serif"/>
                <w:b w:val="false"/>
                <w:color w:val="000000"/>
                <w:sz w:val="16"/>
              </w:rPr>
              <w:t xml:space="preserve">%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Conetoe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Corning Inc. and Lockheed Martin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CVSR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Enterprise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Iron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Luna Valley</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Oahu Solar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tbl>
      <w:tblPr>
        <w:tblW w:w="9706" w:type="dxa"/>
        <w:jc w:val="left"/>
        <w:tblInd w:w="0" w:type="dxa"/>
        <w:tblLayout w:type="fixed"/>
        <w:tblCellMar>
          <w:top w:w="28" w:type="dxa"/>
          <w:left w:w="28" w:type="dxa"/>
          <w:bottom w:w="28" w:type="dxa"/>
          <w:right w:w="28" w:type="dxa"/>
        </w:tblCellMar>
      </w:tblPr>
      <w:tblGrid>
        <w:gridCol w:w="721"/>
        <w:gridCol w:w="634"/>
        <w:gridCol w:w="640"/>
        <w:gridCol w:w="109"/>
        <w:gridCol w:w="109"/>
        <w:gridCol w:w="109"/>
        <w:gridCol w:w="233"/>
        <w:gridCol w:w="233"/>
        <w:gridCol w:w="482"/>
        <w:gridCol w:w="109"/>
        <w:gridCol w:w="109"/>
        <w:gridCol w:w="109"/>
        <w:gridCol w:w="277"/>
        <w:gridCol w:w="279"/>
        <w:gridCol w:w="181"/>
        <w:gridCol w:w="109"/>
        <w:gridCol w:w="109"/>
        <w:gridCol w:w="109"/>
        <w:gridCol w:w="294"/>
        <w:gridCol w:w="262"/>
        <w:gridCol w:w="229"/>
        <w:gridCol w:w="109"/>
        <w:gridCol w:w="109"/>
        <w:gridCol w:w="109"/>
        <w:gridCol w:w="789"/>
        <w:gridCol w:w="789"/>
        <w:gridCol w:w="791"/>
        <w:gridCol w:w="109"/>
        <w:gridCol w:w="109"/>
        <w:gridCol w:w="109"/>
        <w:gridCol w:w="324"/>
        <w:gridCol w:w="324"/>
        <w:gridCol w:w="326"/>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Shoreham </w:t>
            </w:r>
            <w:r>
              <w:rPr>
                <w:rFonts w:ascii="Times New Roman;serif" w:hAnsi="Times New Roman;serif"/>
                <w:b w:val="false"/>
                <w:color w:val="000000"/>
                <w:sz w:val="12"/>
              </w:rPr>
              <w:t>(b)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 Island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Victory Pass</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Solar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Pine Forest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Cardinal Portfolio JV </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DGPV Funds</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2030 - 2044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 Power Partners (SPP)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DG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 - 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X - XI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Black Rock</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Toyota and Google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Broken Bow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Cedar Creek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Cedro Hill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CPS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Crofton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Dan’s Mountain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Energy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Elbow Creek</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Goat Mountain </w:t>
            </w:r>
            <w:r>
              <w:rPr>
                <w:rFonts w:ascii="Times New Roman;serif" w:hAnsi="Times New Roman;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Langford</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Goldman Sachs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Sky</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Star</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2032 - 2035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Ocotillo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573"/>
        <w:gridCol w:w="504"/>
        <w:gridCol w:w="499"/>
        <w:gridCol w:w="109"/>
        <w:gridCol w:w="109"/>
        <w:gridCol w:w="109"/>
        <w:gridCol w:w="217"/>
        <w:gridCol w:w="217"/>
        <w:gridCol w:w="482"/>
        <w:gridCol w:w="109"/>
        <w:gridCol w:w="109"/>
        <w:gridCol w:w="109"/>
        <w:gridCol w:w="321"/>
        <w:gridCol w:w="325"/>
        <w:gridCol w:w="181"/>
        <w:gridCol w:w="109"/>
        <w:gridCol w:w="109"/>
        <w:gridCol w:w="109"/>
        <w:gridCol w:w="341"/>
        <w:gridCol w:w="305"/>
        <w:gridCol w:w="194"/>
        <w:gridCol w:w="109"/>
        <w:gridCol w:w="109"/>
        <w:gridCol w:w="109"/>
        <w:gridCol w:w="1071"/>
        <w:gridCol w:w="1071"/>
        <w:gridCol w:w="1074"/>
        <w:gridCol w:w="109"/>
        <w:gridCol w:w="109"/>
        <w:gridCol w:w="109"/>
        <w:gridCol w:w="308"/>
        <w:gridCol w:w="308"/>
        <w:gridCol w:w="310"/>
        <w:gridCol w:w="109"/>
        <w:gridCol w:w="160"/>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Pinnacle</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Department of General Services and University System of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Rattlesnake </w:t>
            </w:r>
            <w:r>
              <w:rPr>
                <w:rFonts w:ascii="Times New Roman;serif" w:hAnsi="Times New Roman;serif"/>
                <w:b w:val="false"/>
                <w:color w:val="000000"/>
                <w:sz w:val="12"/>
              </w:rPr>
              <w:t>(b)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Avista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 Juan Mesa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Sleeping Bear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Service Company of 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Trent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AEP Energy Partners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Spring Canyon II and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Taloga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Oklahoma Gas &amp;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Tuolumne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Turlock Irrigation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Wildorado</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Utility Scale 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2027 - 2033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Clearway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For owned facilities, net capacity represents the maximum, or rated, generating or storage capacity of the facility multiplied by the Company’s percentage ownership in the facility as of March 31, 2026.</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Facilities are part of tax equity arrangements, as further described in Note 4, </w:t>
      </w:r>
      <w:r>
        <w:rPr>
          <w:rFonts w:ascii="Times New Roman;serif" w:hAnsi="Times New Roman;serif"/>
          <w:b w:val="false"/>
          <w:i/>
          <w:color w:val="000000"/>
          <w:sz w:val="16"/>
        </w:rPr>
        <w:t>Investments Accounted for by the Equity Method and Variable Interest Entities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 xml:space="preserve">Facilities are part of the Cardinal Portfolio acquisition, which closed on March 30, 2026, as further described in Note 3, </w:t>
      </w:r>
      <w:r>
        <w:rPr>
          <w:rFonts w:ascii="Times New Roman;serif" w:hAnsi="Times New Roman;serif"/>
          <w:b w:val="false"/>
          <w:i/>
          <w:color w:val="000000"/>
          <w:sz w:val="16"/>
        </w:rPr>
        <w:t>Acquisitions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The Company leases 100% of the interests in the Catalina solar facility through a facility lease agreement that expires in October 2043.</w:t>
      </w:r>
    </w:p>
    <w:p>
      <w:pPr>
        <w:pStyle w:val="TextBody"/>
        <w:bidi w:val="0"/>
        <w:spacing w:lineRule="auto" w:line="288" w:before="0" w:after="6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The Goat Mountain wind facility commenced repowering activities in February 2026 and was taken offline. Repowering commercial operations is expected to occur in the second half of 2027.</w:t>
      </w:r>
    </w:p>
    <w:p>
      <w:pPr>
        <w:pStyle w:val="TextBody"/>
        <w:bidi w:val="0"/>
        <w:spacing w:lineRule="auto" w:line="288" w:before="0" w:after="60"/>
        <w:jc w:val="both"/>
        <w:rPr/>
      </w:pPr>
      <w:r>
        <w:rPr>
          <w:rFonts w:ascii="Times New Roman;serif" w:hAnsi="Times New Roman;serif"/>
          <w:b w:val="false"/>
          <w:color w:val="000000"/>
          <w:sz w:val="13"/>
        </w:rPr>
        <w:t>(f)</w:t>
      </w:r>
      <w:r>
        <w:rPr>
          <w:color w:val="000000"/>
        </w:rPr>
        <w:t xml:space="preserve"> </w:t>
      </w:r>
      <w:r>
        <w:rPr>
          <w:rFonts w:ascii="Times New Roman;serif" w:hAnsi="Times New Roman;serif"/>
          <w:b w:val="false"/>
          <w:color w:val="000000"/>
          <w:sz w:val="16"/>
        </w:rPr>
        <w:t>Rattlesnake has a deliverable capacity of 144 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Significant Events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Third-Party Acquisitions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subsidiaries, Cardinal Purchaser LLC and Cardinal JV Purchaser LLC, completed the acquisition of the Cardinal Portfolio for total cash consideration of $324 million, subject to post-closing adjustments. Of the total consideration, $244 million was paid by Cardinal Purchaser LLC related to facilities consolidated by the Company and $80 million was paid by Cardinal JV Purchaser LLC related to facilities held through a joint venture with a third-party investor, recorded as an equity method investment. After factoring in cash acquired, transaction expenses and proceeds from the related financing activities, the Company estimates that its net capital investment in the Cardinal Portfolio will be approximately $240 million. See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 for further discussion of the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May 1, 2026, when the Honeycomb Portfolio BESS facilities reached substantial completion, the Company paid $81 million to Clearway Renew as additional purchase price in connection with the Company’s acquisition of Honeycomb TargetCo from Clearway Renew on October 15, 2025.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March 30, 2026, the Company, through its indirect subsidiary, Cardinal Investment Holdco LLC, borrowed $100 million under a new financing arrangement that was entered into in February 2026 to partially fund the acquisition of the Cardinal Portfolio. In connection with the acquisition, the Company also assumed non-recourse facility-level debt associated with certain of the acquired facilities.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financing arrangement and assumed non-recourse facility-level debt.</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in-substance financing to settle derivative liabilities over time. The term financing obligation has an initial carrying amount of $127 million and total payments over the term of the arrangement are $162 million. In connection with the restructuring, the Company also entered into a 15</w:t>
        <w:noBreakHyphen/>
        <w:t>year PPA with an investment</w:t>
        <w:noBreakHyphen/>
        <w:t xml:space="preserve">grade counterparty.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for further discussion of the Mesquite Sky restructuring. </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 xml:space="preserve">Goat Mountain Class B Holdco LLC and Goat Wind LLC, as co-borrowers, entered into a financing arrangement for non-recourse debt for a total commitment of $703 million. The Company made initial borrowings under the arrangement to fund costs associated with the Goat Mountain repowering, including payments under the development services agreement with Clearway Renew. See 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10,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for further discussion.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January 15, 2026, the Company repaid the $231 million outstanding on the Pine Forest tax credit transfer bridge loan utilizing the proceeds received from the sale of transferable ITCs and distributed the remaining $51 million to CEG,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January 13, 2026, Clearway Ener</w:t>
      </w:r>
      <w:r>
        <w:rPr>
          <w:rFonts w:ascii="Times New Roman;serif" w:hAnsi="Times New Roman;serif"/>
          <w:b w:val="false"/>
          <w:color w:val="231F20"/>
          <w:sz w:val="20"/>
        </w:rPr>
        <w:t>gy Operating LLC completed the sale of $600 million aggregate principal amount of 5.75% senior unsecured notes due 2034, or the 2034 Senior Notes.</w:t>
      </w:r>
      <w:r>
        <w:rPr>
          <w:color w:val="000000"/>
        </w:rPr>
        <w:t xml:space="preserve"> </w:t>
      </w:r>
      <w:r>
        <w:rPr>
          <w:rFonts w:ascii="Times New Roman;serif" w:hAnsi="Times New Roman;serif"/>
          <w:b w:val="false"/>
          <w:color w:val="000000"/>
          <w:sz w:val="20"/>
        </w:rPr>
        <w:t xml:space="preserve">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2034 Senior Notes.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environmental matters are further described in the Company’s 2025 Form 10-K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regulatory matters are described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Regulatory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Company’s 2025 Form 10-K</w:t>
      </w:r>
      <w:r>
        <w:rPr>
          <w:rFonts w:ascii="Times New Roman;serif" w:hAnsi="Times New Roman;serif"/>
          <w:b w:val="false"/>
          <w:i/>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Results of Operations</w:t>
      </w:r>
    </w:p>
    <w:p>
      <w:pPr>
        <w:pStyle w:val="TextBody"/>
        <w:bidi w:val="0"/>
        <w:spacing w:lineRule="auto" w:line="288" w:before="0" w:after="6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2135"/>
        <w:gridCol w:w="1758"/>
        <w:gridCol w:w="1768"/>
        <w:gridCol w:w="109"/>
        <w:gridCol w:w="109"/>
        <w:gridCol w:w="155"/>
        <w:gridCol w:w="155"/>
        <w:gridCol w:w="155"/>
        <w:gridCol w:w="155"/>
        <w:gridCol w:w="155"/>
        <w:gridCol w:w="155"/>
        <w:gridCol w:w="301"/>
        <w:gridCol w:w="665"/>
        <w:gridCol w:w="155"/>
        <w:gridCol w:w="109"/>
        <w:gridCol w:w="109"/>
        <w:gridCol w:w="109"/>
        <w:gridCol w:w="211"/>
        <w:gridCol w:w="466"/>
        <w:gridCol w:w="109"/>
        <w:gridCol w:w="109"/>
        <w:gridCol w:w="109"/>
        <w:gridCol w:w="109"/>
        <w:gridCol w:w="211"/>
        <w:gridCol w:w="466"/>
        <w:gridCol w:w="158"/>
      </w:tblGrid>
      <w:tr>
        <w:trPr/>
        <w:tc>
          <w:tcPr>
            <w:tcW w:w="213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275" w:type="dxa"/>
            <w:gridSpan w:val="12"/>
            <w:tcBorders/>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Energy and capacity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fuels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70" w:type="dxa"/>
        <w:jc w:val="left"/>
        <w:tblInd w:w="0" w:type="dxa"/>
        <w:tblLayout w:type="fixed"/>
        <w:tblCellMar>
          <w:top w:w="28" w:type="dxa"/>
          <w:left w:w="28" w:type="dxa"/>
          <w:bottom w:w="28" w:type="dxa"/>
          <w:right w:w="28" w:type="dxa"/>
        </w:tblCellMar>
      </w:tblPr>
      <w:tblGrid>
        <w:gridCol w:w="1583"/>
        <w:gridCol w:w="1395"/>
        <w:gridCol w:w="1401"/>
        <w:gridCol w:w="109"/>
        <w:gridCol w:w="109"/>
        <w:gridCol w:w="277"/>
        <w:gridCol w:w="277"/>
        <w:gridCol w:w="277"/>
        <w:gridCol w:w="277"/>
        <w:gridCol w:w="308"/>
        <w:gridCol w:w="308"/>
        <w:gridCol w:w="690"/>
        <w:gridCol w:w="109"/>
        <w:gridCol w:w="109"/>
        <w:gridCol w:w="109"/>
        <w:gridCol w:w="308"/>
        <w:gridCol w:w="308"/>
        <w:gridCol w:w="316"/>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59" w:type="dxa"/>
            <w:gridSpan w:val="6"/>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MWh generated/sold (in thousands)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MWh generated/sold (in thousands)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&amp; Wind MWh generated/sold (in thousands)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weighted-average capacity factor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weighted-average capacity factor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Flexible Generation MWh generated (in thousands)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shd w:fill="FFFFFF" w:val="clear"/>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16"/>
          <w:shd w:fill="FFFFFF" w:val="clear"/>
        </w:rPr>
        <w:t>Volumes do not include the MWh generated/sold by the Company’s equity method investments.</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(b)</w:t>
      </w:r>
      <w:r>
        <w:rPr>
          <w:color w:val="000000"/>
          <w:shd w:fill="FFFFFF" w:val="clear"/>
        </w:rPr>
        <w:t xml:space="preserve"> </w:t>
      </w:r>
      <w:r>
        <w:rPr>
          <w:rFonts w:ascii="Times New Roman;serif" w:hAnsi="Times New Roman;serif"/>
          <w:b w:val="false"/>
          <w:color w:val="000000"/>
          <w:sz w:val="16"/>
          <w:shd w:fill="FFFFFF" w:val="clear"/>
        </w:rPr>
        <w:t>Typical average capacity factors for solar facilities is 25%. The weighted-average capacity factors can vary based on seasonality and weather.</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16"/>
          <w:shd w:fill="FFFFFF" w:val="clear"/>
        </w:rPr>
        <w:t>Typical average capacity factors for wind facilities is 25-45%. The weighted-average capacity factors can vary based on seasonality and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Three Months Ended March 31, 2026 and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$56 million during the three months ended March 31, 2026, compared to the same period in 2025,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62"/>
        <w:gridCol w:w="600"/>
        <w:gridCol w:w="601"/>
        <w:gridCol w:w="2395"/>
        <w:gridCol w:w="2395"/>
        <w:gridCol w:w="2401"/>
        <w:gridCol w:w="245"/>
        <w:gridCol w:w="420"/>
        <w:gridCol w:w="186"/>
      </w:tblGrid>
      <w:tr>
        <w:trPr/>
        <w:tc>
          <w:tcPr>
            <w:tcW w:w="96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Daggett 1 BESS, Luna Valley solar, Pine Forest solar and BESS and Rosamond South I solar and BESS acquisitions, which reached commercial operations in the second half of 2025, as well as the Catalina solar acquisition in the second half of 2025.</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 as well as the Dan’s Mountain wind acquisition, which reached commercial operations in May 2025.</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19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lower wind resource at the Alta facilities.</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wind sale to Clearway Renew in October 2025 in connection with the repowering.</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reflects normal operating variability.</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19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19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19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191"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additional amortization from the Tuolumne wind and Catalina solar acquisitions, in April 2025 and July 2025, respectively.</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a decrease in forward power prices in the ERCOT market.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value of heat rate call option contracts primarily driven by changes in power market prices.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driven by the Mt. Storm hedge buy-out, which occurred during the second and third quarters of 2025.</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$18 million during the three months ended March 31, 2026, compared to the same period in 2025, primarily due to the solar and BESS acquisitions referenced above.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$15 million during the three months ended March 31, 2026, compared to the same period in 2025, primarily due to the following:</w:t>
      </w:r>
    </w:p>
    <w:tbl>
      <w:tblPr>
        <w:tblW w:w="10205" w:type="dxa"/>
        <w:jc w:val="left"/>
        <w:tblInd w:w="0" w:type="dxa"/>
        <w:tblLayout w:type="fixed"/>
        <w:tblCellMar>
          <w:top w:w="28" w:type="dxa"/>
          <w:left w:w="28" w:type="dxa"/>
          <w:bottom w:w="28" w:type="dxa"/>
          <w:right w:w="28" w:type="dxa"/>
        </w:tblCellMar>
      </w:tblPr>
      <w:tblGrid>
        <w:gridCol w:w="3425"/>
        <w:gridCol w:w="2895"/>
        <w:gridCol w:w="2917"/>
        <w:gridCol w:w="259"/>
        <w:gridCol w:w="518"/>
        <w:gridCol w:w="191"/>
      </w:tblGrid>
      <w:tr>
        <w:trPr/>
        <w:tc>
          <w:tcPr>
            <w:tcW w:w="3425"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 due to changes in interest rates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Renewables &amp; Storage segment primarily due to an increase in principal balances from the solar and BESS acquisitions referenced above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 for the Corporate segment primarily due to the issuance of the 2034 Senior Notes</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had a net loss of $184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6"/>
        <w:gridCol w:w="2938"/>
        <w:gridCol w:w="2954"/>
        <w:gridCol w:w="232"/>
        <w:gridCol w:w="564"/>
        <w:gridCol w:w="171"/>
      </w:tblGrid>
      <w:tr>
        <w:trPr/>
        <w:tc>
          <w:tcPr>
            <w:tcW w:w="3346"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Losses attributable to tax equity financing arrangements and the application of the HLBV method (primarily due to Daggett 1 TE Holdco LLC, Luna Valley TE Holdco LLC and Pine Forest TE HoldCo LLC</w:t>
            </w:r>
            <w:r>
              <w:rPr>
                <w:color w:val="EE2724"/>
              </w:rPr>
              <w:t xml:space="preserve"> </w:t>
            </w:r>
            <w:r>
              <w:rPr>
                <w:rFonts w:ascii="Times New Roman;serif" w:hAnsi="Times New Roman;serif"/>
                <w:b w:val="false"/>
                <w:color w:val="000000"/>
                <w:sz w:val="20"/>
              </w:rPr>
              <w:t>HLBV losses)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from the equity pickup of Pine Forest TE HoldCo LLC HLBV losses)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923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923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9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Company had a net loss of $99 million attributable to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52"/>
        <w:gridCol w:w="2943"/>
        <w:gridCol w:w="2959"/>
        <w:gridCol w:w="255"/>
        <w:gridCol w:w="507"/>
        <w:gridCol w:w="189"/>
      </w:tblGrid>
      <w:tr>
        <w:trPr/>
        <w:tc>
          <w:tcPr>
            <w:tcW w:w="335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VP-Arica TE Holdco LLC and Cedro Hill TE Holdco LLC HLBV losses)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third-party partnerships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serif" w:hAnsi="Times New Roman;serif"/>
          <w:b w:val="false"/>
          <w:color w:val="000000"/>
          <w:sz w:val="20"/>
        </w:rPr>
        <w:t xml:space="preserve">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Current Liquidity Position</w:t>
      </w:r>
    </w:p>
    <w:p>
      <w:pPr>
        <w:pStyle w:val="TextBody"/>
        <w:bidi w:val="0"/>
        <w:spacing w:lineRule="auto" w:line="288" w:before="0" w:after="6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 Company’s liquidity was approximately </w:t>
      </w:r>
      <w:r>
        <w:rPr>
          <w:rFonts w:ascii="Times New Roman;serif" w:hAnsi="Times New Roman;serif"/>
          <w:b w:val="false"/>
          <w:color w:val="000000"/>
          <w:sz w:val="20"/>
        </w:rPr>
        <w:t>$1,229 million</w:t>
      </w:r>
      <w:r>
        <w:rPr>
          <w:color w:val="231F20"/>
        </w:rPr>
        <w:t xml:space="preserve"> </w:t>
      </w:r>
      <w:r>
        <w:rPr>
          <w:rFonts w:ascii="Times New Roman;serif" w:hAnsi="Times New Roman;serif"/>
          <w:b w:val="false"/>
          <w:color w:val="231F20"/>
          <w:sz w:val="20"/>
        </w:rPr>
        <w:t>and $1,061 million,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475"/>
        <w:gridCol w:w="2167"/>
        <w:gridCol w:w="2190"/>
        <w:gridCol w:w="109"/>
        <w:gridCol w:w="109"/>
        <w:gridCol w:w="109"/>
        <w:gridCol w:w="276"/>
        <w:gridCol w:w="808"/>
        <w:gridCol w:w="142"/>
        <w:gridCol w:w="109"/>
        <w:gridCol w:w="109"/>
        <w:gridCol w:w="109"/>
        <w:gridCol w:w="320"/>
        <w:gridCol w:w="936"/>
        <w:gridCol w:w="237"/>
      </w:tblGrid>
      <w:tr>
        <w:trPr/>
        <w:tc>
          <w:tcPr>
            <w:tcW w:w="247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including debt service, distributions, performance obligations and 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liquidity includes $355 million and $587 million of restricted cash balances as of March 31, 2026 and December 31, </w:t>
      </w:r>
      <w:r>
        <w:rPr>
          <w:rFonts w:ascii="Times New Roman;serif" w:hAnsi="Times New Roman;serif"/>
          <w:b w:val="false"/>
          <w:color w:val="000000"/>
          <w:sz w:val="20"/>
        </w:rPr>
        <w:t>2025</w:t>
      </w:r>
      <w:r>
        <w:rPr>
          <w:rFonts w:ascii="Times New Roman;serif" w:hAnsi="Times New Roman;serif"/>
          <w:b w:val="false"/>
          <w:color w:val="231F20"/>
          <w:sz w:val="20"/>
        </w:rPr>
        <w:t xml:space="preserve">, respectively. Restricted cash consists primarily of funds to satisfy the requirements of certain debt arrangements and funds held within the Company’s facilities that are restricted in their use. As of </w:t>
      </w:r>
      <w:r>
        <w:rPr>
          <w:rFonts w:ascii="Times New Roman;serif" w:hAnsi="Times New Roman;serif"/>
          <w:b w:val="false"/>
          <w:color w:val="000000"/>
          <w:sz w:val="20"/>
        </w:rPr>
        <w:t>March 31, 2026, these restricted funds were comprised of $141 million designated to fund operating expenses, approximately $97 million designated for current debt service payments and $85 million restricted for reserves including debt service, performance obligations and other reserves, as well as capital expenditures. The remaining $32 million is held in distribution reserve accounts. In January 2026, the Company distributed $174 million to the tax equity investor in Rosie South TE Holdco LLC related to transferable ITCs for the Rosamond South I solar and BESS facility that were included in restricted cash as of December 31, 2025.</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of March 31, 2026, the Company had no outstanding borrowings under the revolving credit facility and $151 million in letters of credit outstanding. During January 2026, the Company repaid all of the outstanding borrowings under the revolving credit facility utilizing the proceeds from the sale of the 2034 Senior Notes.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activities within the dictates of prudent balance sheet management.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Ratings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2026, the Company’s 2028 Senior Notes, 2031 Senior Notes, 2032 Senior Notes and 2034 Senior Notes were rated BB by S&amp;P and Ba2 by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and </w:t>
      </w:r>
      <w:r>
        <w:rPr>
          <w:rFonts w:ascii="Times New Roman;serif" w:hAnsi="Times New Roman;serif"/>
          <w:b w:val="false"/>
          <w:color w:val="000000"/>
          <w:sz w:val="20"/>
        </w:rPr>
        <w:t xml:space="preserve">Note 8, </w:t>
      </w:r>
      <w:r>
        <w:rPr>
          <w:rFonts w:ascii="Times New Roman;serif" w:hAnsi="Times New Roman;serif"/>
          <w:b w:val="false"/>
          <w:i/>
          <w:color w:val="000000"/>
          <w:sz w:val="20"/>
        </w:rPr>
        <w:t>Members’ Equity</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to this Form 10-Q and Item 15 — Note 10, </w:t>
      </w:r>
      <w:r>
        <w:rPr>
          <w:rFonts w:ascii="Times New Roman;serif" w:hAnsi="Times New Roman;serif"/>
          <w:b w:val="false"/>
          <w:i/>
          <w:color w:val="231F20"/>
          <w:sz w:val="20"/>
        </w:rPr>
        <w:t>Long-term Debt</w:t>
      </w:r>
      <w:r>
        <w:rPr>
          <w:rFonts w:ascii="Times New Roman;serif" w:hAnsi="Times New Roman;serif"/>
          <w:b w:val="false"/>
          <w:color w:val="231F20"/>
          <w:sz w:val="20"/>
        </w:rPr>
        <w:t>,</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Note 11</w:t>
      </w:r>
      <w:r>
        <w:rPr>
          <w:rFonts w:ascii="Times New Roman;serif" w:hAnsi="Times New Roman;serif"/>
          <w:b w:val="false"/>
          <w:color w:val="231F20"/>
          <w:sz w:val="20"/>
        </w:rPr>
        <w:t xml:space="preserve">, </w:t>
      </w:r>
      <w:r>
        <w:rPr>
          <w:rFonts w:ascii="Times New Roman;serif" w:hAnsi="Times New Roman;serif"/>
          <w:b w:val="false"/>
          <w:i/>
          <w:color w:val="000000"/>
          <w:sz w:val="20"/>
        </w:rPr>
        <w:t>Members’ Equity</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2025 Form 10-K</w:t>
      </w:r>
      <w:r>
        <w:rPr>
          <w:rFonts w:ascii="Times New Roman;serif" w:hAnsi="Times New Roman;serif"/>
          <w:b w:val="false"/>
          <w:color w:val="231F20"/>
          <w:sz w:val="20"/>
        </w:rPr>
        <w:t xml:space="preserve">, and further below, the Company’s financing arrangements consist of </w:t>
      </w:r>
      <w:r>
        <w:rPr>
          <w:rFonts w:ascii="Times New Roman;serif" w:hAnsi="Times New Roman;serif"/>
          <w:b w:val="false"/>
          <w:color w:val="000000"/>
          <w:sz w:val="20"/>
        </w:rPr>
        <w:t xml:space="preserve">corporate-level debt, which includes Senior Notes, intercompany borrowings with Clearway, Inc. and the revolving credit facility; facility-level financings for its various assets; </w:t>
      </w:r>
      <w:r>
        <w:rPr>
          <w:rFonts w:ascii="Times New Roman;serif" w:hAnsi="Times New Roman;serif"/>
          <w:b w:val="false"/>
          <w:color w:val="231F20"/>
          <w:sz w:val="20"/>
        </w:rPr>
        <w:t>the ATM Program and the DSPP.</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 xml:space="preserve">Goat Mountain Repowering Financing </w:t>
      </w:r>
      <w:r>
        <w:rPr>
          <w:color w:val="000000"/>
        </w:rPr>
        <w:t xml:space="preserve">— </w:t>
      </w:r>
      <w:r>
        <w:rPr>
          <w:rFonts w:ascii="Times New Roman;serif" w:hAnsi="Times New Roman;serif"/>
          <w:b w:val="false"/>
          <w:color w:val="000000"/>
          <w:sz w:val="20"/>
          <w:shd w:fill="FFFFFF" w:val="clear"/>
        </w:rPr>
        <w:t xml:space="preserve">On February 27, 2026, the Company, through its indirect subsidiaries, </w:t>
      </w:r>
      <w:r>
        <w:rPr>
          <w:rFonts w:ascii="Times New Roman;serif" w:hAnsi="Times New Roman;serif"/>
          <w:b w:val="false"/>
          <w:color w:val="000000"/>
          <w:sz w:val="20"/>
        </w:rPr>
        <w:t>Goat Mountain Class B Holdco LLC and Goat Wind LLC, as co-borrowers, entered into a financing arrangement for non-recourse debt for a total commitment of $703 million, which consists of a construction loan that converts to a five-year term loan upon substantial completion of the repowering, as well as bridge loans to be repaid with the proceeds from the tax equity investor. The construction loan and bridge loans bear interest at a rate of SOFR plus 1.50% and mature on the term conversion date. The initial borrowing of $140 million was primarily used to fund costs associated with the Goat Mountain repowering, including payments under the development services agreement, deferred debt issuance costs and capital expenditures. Under the financing arrangement, the Company borrowed $151 million through March 31, 2026. The Company estimates that its total capital investment in the Goat Mountain repowering will be $200 million, subject to closing adjustments.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2034 Senior Notes</w:t>
      </w:r>
      <w:r>
        <w:rPr>
          <w:color w:val="000000"/>
        </w:rPr>
        <w:t xml:space="preserve"> — </w:t>
      </w:r>
      <w:r>
        <w:rPr>
          <w:rFonts w:ascii="Times New Roman;serif" w:hAnsi="Times New Roman;serif"/>
          <w:b w:val="false"/>
          <w:color w:val="231F20"/>
          <w:sz w:val="20"/>
        </w:rPr>
        <w:t>On January 13, 2026, Clearway Energy Operating LLC completed the sale of $600 million aggregate principal amount of senior unsecured notes due 2034, or the 2034 Senior Notes. The 2034 Senior Notes bear interest at a rate of 5.750% per annum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Direct Stock Purchase Plan, or DSPP</w:t>
      </w:r>
      <w:r>
        <w:rPr>
          <w:color w:val="000000"/>
        </w:rPr>
        <w:t xml:space="preserve"> — </w:t>
      </w:r>
      <w:r>
        <w:rPr>
          <w:rFonts w:ascii="Times New Roman;serif" w:hAnsi="Times New Roman;serif"/>
          <w:b w:val="false"/>
          <w:color w:val="000000"/>
          <w:sz w:val="20"/>
        </w:rPr>
        <w:t>In January 2026, Clearway, Inc. issued 1,445,244 shares of Class C common stock under the DSPP for gross proceeds of $50 million and incurred fees of less than $1 million, which were exchanged for 1,445,244 of the Company’s Class C units. As of March 31, 2026, 1,061,554 shares of Clearway, Inc.’s Class C common stock remained available for issuance under the DSPP.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231F20"/>
          <w:sz w:val="20"/>
        </w:rPr>
      </w:pPr>
      <w:r>
        <w:rPr>
          <w:rFonts w:ascii="Times New Roman;serif" w:hAnsi="Times New Roman;serif"/>
          <w:b/>
          <w:i/>
          <w:color w:val="231F20"/>
          <w:sz w:val="20"/>
        </w:rPr>
        <w:t>Uses of Liquidity</w:t>
      </w:r>
    </w:p>
    <w:p>
      <w:pPr>
        <w:pStyle w:val="TextBody"/>
        <w:bidi w:val="0"/>
        <w:spacing w:lineRule="auto" w:line="288" w:before="0" w:after="0"/>
        <w:ind w:left="0" w:right="0" w:firstLine="450"/>
        <w:jc w:val="both"/>
        <w:rPr/>
      </w:pPr>
      <w:r>
        <w:rPr>
          <w:rFonts w:ascii="Times New Roman;serif" w:hAnsi="Times New Roman;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erif" w:hAnsi="Times New Roman;serif"/>
          <w:b w:val="false"/>
          <w:color w:val="000000"/>
          <w:sz w:val="20"/>
        </w:rPr>
        <w:t>Note 7</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(ii) capital expenditures; (iii) off-balance sheet arrangements; (iv) acquisitions and investments, as described more fully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and Note 8, </w:t>
      </w:r>
      <w:r>
        <w:rPr>
          <w:rFonts w:ascii="Times New Roman;serif" w:hAnsi="Times New Roman;serif"/>
          <w:b w:val="false"/>
          <w:i/>
          <w:color w:val="000000"/>
          <w:sz w:val="20"/>
        </w:rPr>
        <w:t>Members’ Equity</w:t>
      </w:r>
      <w:r>
        <w:rPr>
          <w:rFonts w:ascii="Times New Roman;serif" w:hAnsi="Times New Roman;serif"/>
          <w:b w:val="false"/>
          <w:color w:val="231F20"/>
          <w:sz w:val="20"/>
        </w:rPr>
        <w:t>; and (v)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For the three months ended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Company used approximately $75 million to fund capital expenditures, including growth </w:t>
      </w:r>
      <w:r>
        <w:rPr>
          <w:rFonts w:ascii="Times New Roman;serif" w:hAnsi="Times New Roman;serif"/>
          <w:b w:val="false"/>
          <w:color w:val="000000"/>
          <w:sz w:val="20"/>
        </w:rPr>
        <w:t>expenditures of $70 million, primarily in the Renewables &amp; Storage segment, funded through construction-related financing. Growth capital expenditures included $29 million incurred in connection with the Honeycomb Portfolio BESS facilities, $22 million incurred in connection with the Pine Forest solar and BESS facility, $17 million incurred in connection with the repowering of the Goat Mountain wind facility and $2 million incurred by other facilities.</w:t>
      </w:r>
      <w:r>
        <w:rPr>
          <w:color w:val="231F20"/>
        </w:rPr>
        <w:t xml:space="preserve"> </w:t>
      </w:r>
      <w:r>
        <w:rPr>
          <w:rFonts w:ascii="Times New Roman;serif" w:hAnsi="Times New Roman;serif"/>
          <w:b w:val="false"/>
          <w:color w:val="231F20"/>
          <w:sz w:val="20"/>
        </w:rPr>
        <w:t xml:space="preserve">In addition, the Company incurred </w:t>
      </w:r>
      <w:r>
        <w:rPr>
          <w:rFonts w:ascii="Times New Roman;serif" w:hAnsi="Times New Roman;serif"/>
          <w:b w:val="false"/>
          <w:color w:val="000000"/>
          <w:sz w:val="20"/>
        </w:rPr>
        <w:t>$5 million of maintenance capital expenditures.</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under Certain Guarantee Contracts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Retained or Contingent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material retained or contingent interests in assets transferred to an unconsolidated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Variable interest in equity investments</w:t>
      </w:r>
      <w:r>
        <w:rPr>
          <w:color w:val="000000"/>
        </w:rPr>
        <w:t> — </w:t>
      </w:r>
      <w:r>
        <w:rPr>
          <w:rFonts w:ascii="Times New Roman;serif" w:hAnsi="Times New Roman;serif"/>
          <w:b w:val="false"/>
          <w:color w:val="000000"/>
          <w:sz w:val="20"/>
        </w:rPr>
        <w:t>As of March 31, 2026, the Company has several investments with an ownership interest percentage of 50% or less. GenConn is a VIE for which the Company is not the primary beneficiary. The Company’s pro-rata share of non-recourse debt held by unconsolidated affiliates was approximately $367 million as of March 31, 2026.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erif" w:hAnsi="Times New Roman;serif"/>
          <w:b w:val="false"/>
          <w:color w:val="231F20"/>
          <w:sz w:val="20"/>
        </w:rPr>
        <w:t>2025</w:t>
      </w:r>
      <w:r>
        <w:rPr>
          <w:color w:val="000000"/>
        </w:rPr>
        <w:t xml:space="preserve"> </w:t>
      </w:r>
      <w:r>
        <w:rPr>
          <w:rFonts w:ascii="Times New Roman;serif" w:hAnsi="Times New Roman;serif"/>
          <w:b w:val="false"/>
          <w:color w:val="000000"/>
          <w:sz w:val="20"/>
        </w:rPr>
        <w:t>Form 10-K.</w:t>
      </w:r>
    </w:p>
    <w:p>
      <w:pPr>
        <w:pStyle w:val="TextBody"/>
        <w:bidi w:val="0"/>
        <w:spacing w:lineRule="auto" w:line="276"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Acquisitions and Investments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100" w:after="180"/>
        <w:ind w:left="0" w:right="0" w:firstLine="450"/>
        <w:jc w:val="both"/>
        <w:rPr/>
      </w:pPr>
      <w:r>
        <w:rPr>
          <w:rFonts w:ascii="Times New Roman;serif" w:hAnsi="Times New Roman;serif"/>
          <w:b w:val="false"/>
          <w:i/>
          <w:color w:val="000000"/>
          <w:sz w:val="20"/>
          <w:shd w:fill="FFFFFF" w:val="clear"/>
        </w:rPr>
        <w:t xml:space="preserve">Honeycomb Portfolio Drop Down </w:t>
      </w:r>
      <w:r>
        <w:rPr>
          <w:color w:val="000000"/>
        </w:rPr>
        <w:t xml:space="preserve">— </w:t>
      </w:r>
      <w:r>
        <w:rPr>
          <w:rFonts w:ascii="Times New Roman;serif" w:hAnsi="Times New Roman;serif"/>
          <w:b w:val="false"/>
          <w:color w:val="000000"/>
          <w:sz w:val="20"/>
          <w:shd w:fill="FFFFFF" w:val="clear"/>
        </w:rPr>
        <w:t>On May 1, 2026, when the Honeycomb Portfolio BESS facilities reached substantial completion, the Company paid $81 million to Clearway Renew as additional purchase price in connection with the Company’s acquisition of Honeycomb TargetCo from Clearway Renew on October 15, 2025, which was funded with existing sources of liquidity. The Company’s total capital investment in Honeycomb TargetCo was $97 million. Also, on May 1, 2026, the tax equity investor in Honeycomb TE Holdco LLC contributed an additional $254 million, which was utilized along with the $60 million previously held in escrow, to repay the tax equity bridge loan and to pay associated fees with the remaining proceeds distributed to CEG. During 2026, the Company borrowed an additional $71 million in construction loans, and on May 1, 2026, the total outstanding construction loans were converted to a term loan.</w:t>
      </w:r>
    </w:p>
    <w:p>
      <w:pPr>
        <w:pStyle w:val="TextBody"/>
        <w:bidi w:val="0"/>
        <w:spacing w:lineRule="auto" w:line="288" w:before="100" w:after="180"/>
        <w:ind w:left="0" w:right="0" w:firstLine="450"/>
        <w:jc w:val="both"/>
        <w:rPr/>
      </w:pPr>
      <w:r>
        <w:rPr>
          <w:rFonts w:ascii="Times New Roman;serif" w:hAnsi="Times New Roman;serif"/>
          <w:b w:val="false"/>
          <w:i/>
          <w:color w:val="000000"/>
          <w:sz w:val="20"/>
          <w:shd w:fill="FFFFFF" w:val="clear"/>
        </w:rPr>
        <w:t>Cardinal Portfolio</w:t>
      </w:r>
      <w:r>
        <w:rPr>
          <w:color w:val="000000"/>
          <w:shd w:fill="FFFFFF" w:val="clear"/>
        </w:rPr>
        <w:t xml:space="preserve"> </w:t>
      </w:r>
      <w:r>
        <w:rPr>
          <w:rFonts w:ascii="Times New Roman;serif" w:hAnsi="Times New Roman;serif"/>
          <w:b w:val="false"/>
          <w:i/>
          <w:color w:val="000000"/>
          <w:sz w:val="20"/>
          <w:shd w:fill="FFFFFF" w:val="clear"/>
        </w:rPr>
        <w:t xml:space="preserve">Acquisition </w:t>
      </w:r>
      <w:r>
        <w:rPr>
          <w:color w:val="000000"/>
        </w:rPr>
        <w:t xml:space="preserve">— </w:t>
      </w:r>
      <w:r>
        <w:rPr>
          <w:rFonts w:ascii="Times New Roman;serif" w:hAnsi="Times New Roman;serif"/>
          <w:b w:val="false"/>
          <w:color w:val="000000"/>
          <w:sz w:val="20"/>
          <w:shd w:fill="FFFFFF" w:val="clear"/>
        </w:rPr>
        <w:t>On March 30, 2026, the Company, through its indirect subsidiaries, Cardinal Purchaser LLC and Cardinal JV Purchaser LLC, completed the acquisition of the Cardinal Portfolio for total cash consideration of $324 million, subject to post-closing adjustments. Of the total consideration, $244 million was paid by Cardinal Purchaser LLC related to facilities consolidated by the Company and $80 million was paid by Cardinal JV Purchaser LLC related to facilities held through a joint venture with a third-party investor. The Cardinal Portfolio has a weighted average remaining contract duration of approximately 10 years. The acquisition was funded with $100 million in borrowings under the new financing arrangement entered into in connection with the acquisition, as well as existing sources of liquidity. In connection with the acquisition, the Company also assumed non-recourse facility-level debt associated with certain of the acquired facilities. After factoring in cash acquired, transaction expenses and proceeds from the related financing activities, the Company estimates that its net capital investment in the Cardinal Portfolio will be approximately $240 million.</w:t>
      </w:r>
    </w:p>
    <w:p>
      <w:pPr>
        <w:pStyle w:val="TextBody"/>
        <w:bidi w:val="0"/>
        <w:spacing w:lineRule="auto" w:line="288" w:before="100" w:after="180"/>
        <w:ind w:left="0" w:right="0" w:firstLine="450"/>
        <w:jc w:val="both"/>
        <w:rPr/>
      </w:pPr>
      <w:r>
        <w:rPr>
          <w:rFonts w:ascii="Times New Roman;serif" w:hAnsi="Times New Roman;serif"/>
          <w:b w:val="false"/>
          <w:i/>
          <w:color w:val="000000"/>
          <w:sz w:val="20"/>
          <w:shd w:fill="FFFFFF" w:val="clear"/>
        </w:rPr>
        <w:t xml:space="preserve">Mesquite Sky Restructuring </w:t>
      </w:r>
      <w:r>
        <w:rPr>
          <w:color w:val="000000"/>
        </w:rPr>
        <w:t xml:space="preserve">— </w:t>
      </w:r>
      <w:r>
        <w:rPr>
          <w:rFonts w:ascii="Times New Roman;serif" w:hAnsi="Times New Roman;serif"/>
          <w:b w:val="false"/>
          <w:color w:val="000000"/>
          <w:sz w:val="20"/>
          <w:shd w:fill="FFFFFF" w:val="clear"/>
        </w:rPr>
        <w:t>On March 27, 2026, the Company restructured its existing energy</w:t>
        <w:noBreakHyphen/>
        <w:t>related commodity contract associated with the Mesquite Sky wind facility, which resulted in an in</w:t>
        <w:noBreakHyphen/>
        <w:t>substance financing to settle existing derivative liabilities over time. As a result of the restructuring, the Company derecognized derivative liabilities with a fair value of $115 million, as well as $12 million owed to the counterparty that was previously included in other non</w:t>
        <w:noBreakHyphen/>
        <w:t>current liabilities, and recognized a term financing obligation with an initial carrying amount of $127 million. The financing obligation is repaid through fixed monthly payments beginning in May 2026 and matures on September 30, 2035. Total payments over the term of the arrangement are $162 million, which implies an effective interest rate of approximately 5.436%. In connection with the restructuring, the Company also entered into a 15</w:t>
        <w:noBreakHyphen/>
        <w:t>year PPA with an investment</w:t>
        <w:noBreakHyphen/>
        <w:t>grade counterparty, which replaces the volumetric and price exposure of Mesquite Sky’s energy</w:t>
        <w:noBreakHyphen/>
        <w:t>related commodity contract with more favorable pricing.</w:t>
      </w:r>
    </w:p>
    <w:p>
      <w:pPr>
        <w:pStyle w:val="TextBody"/>
        <w:bidi w:val="0"/>
        <w:spacing w:lineRule="auto" w:line="288" w:before="0" w:after="180"/>
        <w:ind w:left="0" w:right="0" w:firstLine="450"/>
        <w:jc w:val="both"/>
        <w:rPr/>
      </w:pPr>
      <w:r>
        <w:rPr>
          <w:rFonts w:ascii="Times New Roman;serif" w:hAnsi="Times New Roman;serif"/>
          <w:b w:val="false"/>
          <w:i/>
          <w:color w:val="000000"/>
          <w:sz w:val="20"/>
          <w:shd w:fill="FFFFFF" w:val="clear"/>
        </w:rPr>
        <w:t xml:space="preserve">Pine Forest </w:t>
      </w:r>
      <w:r>
        <w:rPr>
          <w:color w:val="000000"/>
        </w:rPr>
        <w:t xml:space="preserve">— </w:t>
      </w:r>
      <w:r>
        <w:rPr>
          <w:rFonts w:ascii="Times New Roman;serif" w:hAnsi="Times New Roman;serif"/>
          <w:b w:val="false"/>
          <w:color w:val="000000"/>
          <w:sz w:val="20"/>
        </w:rPr>
        <w:t xml:space="preserve">On January 15, 2026, the Company repaid the $231 million outstanding on the tax credit transfer bridge loan utilizing the proceeds received from the sale of transferable ITCs and distributed the remaining $51 million to CEG, as further described in Note 7,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Cash Distributions to Clearway, Inc.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distributions paid on the Company’s Class A, B, C and D units during the three months ended March 31, 2026:</w:t>
      </w:r>
    </w:p>
    <w:tbl>
      <w:tblPr>
        <w:tblW w:w="5912"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109"/>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2026</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a result of the Class A Conversion discussed in Note 8, </w:t>
      </w:r>
      <w:r>
        <w:rPr>
          <w:rFonts w:ascii="Times New Roman;serif" w:hAnsi="Times New Roman;serif"/>
          <w:b w:val="false"/>
          <w:i/>
          <w:color w:val="000000"/>
          <w:sz w:val="20"/>
        </w:rPr>
        <w:t>Members’ Equity</w:t>
      </w:r>
      <w:r>
        <w:rPr>
          <w:rFonts w:ascii="Times New Roman;serif" w:hAnsi="Times New Roman;serif"/>
          <w:b w:val="false"/>
          <w:color w:val="000000"/>
          <w:sz w:val="20"/>
        </w:rPr>
        <w:t>, the Company no longer has any Class A units outstanding, and holders of the Company’s former Class A units converted into Class C units remain entitled to receive distributions, if declared by the Company, on the same basis as prior to the conversion.</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6, 2026, the Company declared a distribution on its Class B, Class C, including Class C units that were received in the Class A Conversion, and Class D units of $0.4676 per unit payable on June 15, 2026 to unit holders of record as of June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cash flows for the comparative periods:</w:t>
      </w:r>
    </w:p>
    <w:tbl>
      <w:tblPr>
        <w:tblW w:w="7621" w:type="dxa"/>
        <w:jc w:val="left"/>
        <w:tblInd w:w="0" w:type="dxa"/>
        <w:tblLayout w:type="fixed"/>
        <w:tblCellMar>
          <w:top w:w="28" w:type="dxa"/>
          <w:left w:w="28" w:type="dxa"/>
          <w:bottom w:w="28" w:type="dxa"/>
          <w:right w:w="28" w:type="dxa"/>
        </w:tblCellMar>
      </w:tblPr>
      <w:tblGrid>
        <w:gridCol w:w="1525"/>
        <w:gridCol w:w="1343"/>
        <w:gridCol w:w="1346"/>
        <w:gridCol w:w="277"/>
        <w:gridCol w:w="611"/>
        <w:gridCol w:w="143"/>
        <w:gridCol w:w="143"/>
        <w:gridCol w:w="143"/>
        <w:gridCol w:w="143"/>
        <w:gridCol w:w="277"/>
        <w:gridCol w:w="474"/>
        <w:gridCol w:w="143"/>
        <w:gridCol w:w="109"/>
        <w:gridCol w:w="109"/>
        <w:gridCol w:w="109"/>
        <w:gridCol w:w="211"/>
        <w:gridCol w:w="36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490"/>
        <w:gridCol w:w="2881"/>
        <w:gridCol w:w="2892"/>
        <w:gridCol w:w="272"/>
        <w:gridCol w:w="466"/>
        <w:gridCol w:w="204"/>
      </w:tblGrid>
      <w:tr>
        <w:trPr/>
        <w:tc>
          <w:tcPr>
            <w:tcW w:w="3490"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provided by operating activities were driven by:</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from changes in working capital primarily driven by the timing of accounts receivable collections and payments of current liabilities, including accounts payable and accrued liabilities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from unconsolidated affiliates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income after adjusting for non-cash items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9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9263"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Used in Investing Activities</w:t>
      </w:r>
    </w:p>
    <w:tbl>
      <w:tblPr>
        <w:tblW w:w="10205" w:type="dxa"/>
        <w:jc w:val="left"/>
        <w:tblInd w:w="0" w:type="dxa"/>
        <w:tblLayout w:type="fixed"/>
        <w:tblCellMar>
          <w:top w:w="28" w:type="dxa"/>
          <w:left w:w="28" w:type="dxa"/>
          <w:bottom w:w="28" w:type="dxa"/>
          <w:right w:w="28" w:type="dxa"/>
        </w:tblCellMar>
      </w:tblPr>
      <w:tblGrid>
        <w:gridCol w:w="3323"/>
        <w:gridCol w:w="2894"/>
        <w:gridCol w:w="2905"/>
        <w:gridCol w:w="252"/>
        <w:gridCol w:w="644"/>
        <w:gridCol w:w="187"/>
      </w:tblGrid>
      <w:tr>
        <w:trPr/>
        <w:tc>
          <w:tcPr>
            <w:tcW w:w="332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used in investing activities were driven by:</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third party acquisitions, net of cash acquired, in 2026 related to the Cardinal Portfolio</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 in 2026 related to the Cardinal Portfolio JV</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equipment deposits and asset purchases from affiliate in 2026 related to the Goat Mountain repowering</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capital expenditures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paid for Drop Down Assets, net of cash acquired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9122"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(Used in) Financing Activities</w:t>
      </w:r>
    </w:p>
    <w:tbl>
      <w:tblPr>
        <w:tblW w:w="9165" w:type="dxa"/>
        <w:jc w:val="left"/>
        <w:tblInd w:w="0" w:type="dxa"/>
        <w:tblLayout w:type="fixed"/>
        <w:tblCellMar>
          <w:top w:w="28" w:type="dxa"/>
          <w:left w:w="28" w:type="dxa"/>
          <w:bottom w:w="28" w:type="dxa"/>
          <w:right w:w="28" w:type="dxa"/>
        </w:tblCellMar>
      </w:tblPr>
      <w:tblGrid>
        <w:gridCol w:w="2919"/>
        <w:gridCol w:w="2566"/>
        <w:gridCol w:w="2585"/>
        <w:gridCol w:w="255"/>
        <w:gridCol w:w="654"/>
        <w:gridCol w:w="186"/>
      </w:tblGrid>
      <w:tr>
        <w:trPr/>
        <w:tc>
          <w:tcPr>
            <w:tcW w:w="291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cash provided by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 in 2026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 in 2026</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to noncontrolling interests, Clearway, Inc. and CEG, net of contributions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paid to unit holders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proceeds from issuance of long-term debt and payments for long-term debt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exchange of Class C units in connection with issuances under the DSPP in 2026</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07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540"/>
        <w:jc w:val="both"/>
        <w:rPr/>
      </w:pPr>
      <w:r>
        <w:rPr>
          <w:rFonts w:ascii="Times New Roman;serif" w:hAnsi="Times New Roman;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based on their level within the fair value hierarchy defined in ASC 820; and indicate the maturities of contracts at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For a full discussion of the Company’s valuation methodology of its contracts, see </w:t>
      </w:r>
      <w:r>
        <w:rPr>
          <w:rFonts w:ascii="Times New Roman;serif" w:hAnsi="Times New Roman;serif"/>
          <w:b w:val="false"/>
          <w:i/>
          <w:color w:val="231F20"/>
          <w:sz w:val="20"/>
        </w:rPr>
        <w:t xml:space="preserve">Derivative Fair Value Measurements </w:t>
      </w:r>
      <w:r>
        <w:rPr>
          <w:rFonts w:ascii="Times New Roman;serif" w:hAnsi="Times New Roman;serif"/>
          <w:b w:val="false"/>
          <w:color w:val="231F20"/>
          <w:sz w:val="20"/>
        </w:rPr>
        <w:t xml:space="preserve">in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w:t>
      </w:r>
    </w:p>
    <w:tbl>
      <w:tblPr>
        <w:tblW w:w="6810" w:type="dxa"/>
        <w:jc w:val="left"/>
        <w:tblInd w:w="0" w:type="dxa"/>
        <w:tblLayout w:type="fixed"/>
        <w:tblCellMar>
          <w:top w:w="28" w:type="dxa"/>
          <w:left w:w="28" w:type="dxa"/>
          <w:bottom w:w="28" w:type="dxa"/>
          <w:right w:w="28" w:type="dxa"/>
        </w:tblCellMar>
      </w:tblPr>
      <w:tblGrid>
        <w:gridCol w:w="2071"/>
        <w:gridCol w:w="1819"/>
        <w:gridCol w:w="1825"/>
        <w:gridCol w:w="255"/>
        <w:gridCol w:w="654"/>
        <w:gridCol w:w="186"/>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December 31, 2025</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realized, restructured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added during the period</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March 31, 2026</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95" w:type="dxa"/>
        <w:jc w:val="left"/>
        <w:tblInd w:w="0" w:type="dxa"/>
        <w:tblLayout w:type="fixed"/>
        <w:tblCellMar>
          <w:top w:w="28" w:type="dxa"/>
          <w:left w:w="28" w:type="dxa"/>
          <w:bottom w:w="28" w:type="dxa"/>
          <w:right w:w="28" w:type="dxa"/>
        </w:tblCellMar>
      </w:tblPr>
      <w:tblGrid>
        <w:gridCol w:w="1003"/>
        <w:gridCol w:w="882"/>
        <w:gridCol w:w="889"/>
        <w:gridCol w:w="358"/>
        <w:gridCol w:w="612"/>
        <w:gridCol w:w="185"/>
        <w:gridCol w:w="109"/>
        <w:gridCol w:w="109"/>
        <w:gridCol w:w="109"/>
        <w:gridCol w:w="432"/>
        <w:gridCol w:w="739"/>
        <w:gridCol w:w="224"/>
        <w:gridCol w:w="109"/>
        <w:gridCol w:w="109"/>
        <w:gridCol w:w="109"/>
        <w:gridCol w:w="406"/>
        <w:gridCol w:w="839"/>
        <w:gridCol w:w="209"/>
        <w:gridCol w:w="109"/>
        <w:gridCol w:w="109"/>
        <w:gridCol w:w="109"/>
        <w:gridCol w:w="310"/>
        <w:gridCol w:w="640"/>
        <w:gridCol w:w="160"/>
        <w:gridCol w:w="109"/>
        <w:gridCol w:w="109"/>
        <w:gridCol w:w="109"/>
        <w:gridCol w:w="228"/>
        <w:gridCol w:w="505"/>
        <w:gridCol w:w="166"/>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contracts as of March 31, 2026</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u w:val="single"/>
              </w:rPr>
            </w:pPr>
            <w:r>
              <w:rPr>
                <w:rFonts w:ascii="Times New Roman;serif" w:hAnsi="Times New Roman;serif"/>
                <w:b/>
                <w:color w:val="000000"/>
                <w:sz w:val="16"/>
                <w:u w:val="single"/>
              </w:rPr>
              <w:t>Fair Value Hierarchy (Losses) Gains</w:t>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Fair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HLBV and determining the fair value of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Recent Accounting Developments</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erif" w:hAnsi="Times New Roman;serif"/>
          <w:b w:val="false"/>
          <w:color w:val="000000"/>
          <w:sz w:val="20"/>
        </w:rPr>
        <w:t>The following disclosures about market risk provide an update to, and should be read in conjunction with, Item 7A —</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of the Company’s 2025 Form 10-K.</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Commodity Price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Based on a sensitivity analysis using simplified assumptions, the impact of a $0.50 per MWh increase or decrease in power prices across the term of the long-term power commodity contracts would cause a change of approximately $3 million to the net value of the related derivatives as of March 31, 2026.</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erif" w:hAnsi="Times New Roman;serif"/>
          <w:b w:val="false"/>
          <w:color w:val="000000"/>
          <w:sz w:val="20"/>
        </w:rPr>
        <w:t>Note 6</w:t>
      </w:r>
      <w:r>
        <w:rPr>
          <w:rFonts w:ascii="Times New Roman;serif" w:hAnsi="Times New Roman;serif"/>
          <w:b w:val="false"/>
          <w:color w:val="231F20"/>
          <w:sz w:val="20"/>
        </w:rPr>
        <w:t xml:space="preserve">, </w:t>
      </w:r>
      <w:r>
        <w:rPr>
          <w:rFonts w:ascii="Times New Roman;serif" w:hAnsi="Times New Roman;serif"/>
          <w:b w:val="false"/>
          <w:i/>
          <w:color w:val="000000"/>
          <w:sz w:val="20"/>
        </w:rPr>
        <w:t>Derivative Instruments and Hedging Activities</w:t>
      </w:r>
      <w:r>
        <w:rPr>
          <w:rFonts w:ascii="Times New Roman;serif" w:hAnsi="Times New Roman;serif"/>
          <w:b w:val="false"/>
          <w:color w:val="231F20"/>
          <w:sz w:val="20"/>
        </w:rPr>
        <w:t>, for more information.</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serif" w:hAnsi="Times New Roman;serif"/>
          <w:b w:val="false"/>
          <w:color w:val="000000"/>
          <w:sz w:val="20"/>
        </w:rPr>
        <w:t>Note 10</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Company’s </w:t>
      </w:r>
      <w:r>
        <w:rPr>
          <w:rFonts w:ascii="Times New Roman;serif" w:hAnsi="Times New Roman;serif"/>
          <w:b w:val="false"/>
          <w:color w:val="000000"/>
          <w:sz w:val="20"/>
        </w:rPr>
        <w:t>audited consolidated financial statements for the year ended December 31, 2025 included in the 2025 Form 10-K</w:t>
      </w:r>
      <w:r>
        <w:rPr>
          <w:color w:val="231F20"/>
        </w:rPr>
        <w:t xml:space="preserve"> </w:t>
      </w:r>
      <w:r>
        <w:rPr>
          <w:rFonts w:ascii="Times New Roman;serif" w:hAnsi="Times New Roman;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If all of the interest rate swaps had been discontinued on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counterparties would have owed the Company </w:t>
      </w:r>
      <w:r>
        <w:rPr>
          <w:rFonts w:ascii="Times New Roman;serif" w:hAnsi="Times New Roman;serif"/>
          <w:b w:val="false"/>
          <w:color w:val="000000"/>
          <w:sz w:val="20"/>
        </w:rPr>
        <w:t>$129 million.</w:t>
      </w:r>
      <w:r>
        <w:rPr>
          <w:color w:val="231F20"/>
        </w:rPr>
        <w:t xml:space="preserve"> </w:t>
      </w:r>
      <w:r>
        <w:rPr>
          <w:rFonts w:ascii="Times New Roman;serif" w:hAnsi="Times New Roman;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has long-term debt instruments that subject it to the risk of loss associated with movements in market interest rates. As of </w:t>
      </w:r>
      <w:r>
        <w:rPr>
          <w:rFonts w:ascii="Times New Roman;serif" w:hAnsi="Times New Roman;serif"/>
          <w:b w:val="false"/>
          <w:color w:val="000000"/>
          <w:sz w:val="20"/>
        </w:rPr>
        <w:t>March 31, 2026</w:t>
      </w:r>
      <w:r>
        <w:rPr>
          <w:rFonts w:ascii="Times New Roman;serif" w:hAnsi="Times New Roman;serif"/>
          <w:b w:val="false"/>
          <w:color w:val="231F20"/>
          <w:sz w:val="20"/>
        </w:rPr>
        <w:t>, a change of 1%, or 100 basis points, in interest rates would result in an approximately $3 million change in market interest expense on a rolling twelve-month basis.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fair value of the Company’s debt was </w:t>
      </w:r>
      <w:r>
        <w:rPr>
          <w:rFonts w:ascii="Times New Roman;serif" w:hAnsi="Times New Roman;serif"/>
          <w:b w:val="false"/>
          <w:color w:val="000000"/>
          <w:sz w:val="20"/>
        </w:rPr>
        <w:t>$8,877 million</w:t>
      </w:r>
      <w:r>
        <w:rPr>
          <w:color w:val="231F20"/>
        </w:rPr>
        <w:t xml:space="preserve"> </w:t>
      </w:r>
      <w:r>
        <w:rPr>
          <w:rFonts w:ascii="Times New Roman;serif" w:hAnsi="Times New Roman;serif"/>
          <w:b w:val="false"/>
          <w:color w:val="231F20"/>
          <w:sz w:val="20"/>
        </w:rPr>
        <w:t xml:space="preserve">and the carrying value was </w:t>
      </w:r>
      <w:r>
        <w:rPr>
          <w:rFonts w:ascii="Times New Roman;serif" w:hAnsi="Times New Roman;serif"/>
          <w:b w:val="false"/>
          <w:color w:val="000000"/>
          <w:sz w:val="20"/>
        </w:rPr>
        <w:t>$9,210 million</w:t>
      </w:r>
      <w:r>
        <w:rPr>
          <w:rFonts w:ascii="Times New Roman;serif" w:hAnsi="Times New Roman;serif"/>
          <w:b w:val="false"/>
          <w:color w:val="231F20"/>
          <w:sz w:val="20"/>
        </w:rPr>
        <w:t>. The Company estimates that a decrease of 1%, or 100 basis points, in market interest rates would have increased the fair value of its long-term debt by approximately $94 million.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Liquidity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Counterparty Credit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180"/>
        <w:jc w:val="both"/>
        <w:rPr/>
      </w:pPr>
      <w:r>
        <w:rPr>
          <w:rFonts w:ascii="Times New Roman;serif" w:hAnsi="Times New Roman;serif"/>
          <w:b w:val="false"/>
          <w:i/>
          <w:color w:val="000000"/>
          <w:sz w:val="20"/>
        </w:rPr>
        <w:t>Evaluation of Disclosure Controls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Procedures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effective as of the end of the period covered by this Quarterly Report on Form 10-Q.</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Remediation of Previously Reported Material Weakness</w:t>
      </w:r>
    </w:p>
    <w:p>
      <w:pPr>
        <w:pStyle w:val="TextBody"/>
        <w:bidi w:val="0"/>
        <w:spacing w:lineRule="auto" w:line="288" w:before="0" w:after="180"/>
        <w:ind w:left="0" w:right="0" w:firstLine="450"/>
        <w:jc w:val="both"/>
        <w:rPr/>
      </w:pPr>
      <w:r>
        <w:rPr>
          <w:rFonts w:ascii="Times New Roman;serif" w:hAnsi="Times New Roman;serif"/>
          <w:b w:val="false"/>
          <w:color w:val="000000"/>
          <w:sz w:val="20"/>
        </w:rPr>
        <w:t>As previously disclosed in the Company’s 2025 Form 10</w:t>
        <w:noBreakHyphen/>
        <w:t xml:space="preserve">K, the Company’s management identified a material weakness in its internal control over financial reporting related to ineffective controls over the review of certain calculations of HLBV accounting used to allocate net income (loss) to the Company’s redeemable noncontrolling interests and noncontrolling interests in tax equity partnerships. For further discussion, see Item 9A – </w:t>
      </w:r>
      <w:r>
        <w:rPr>
          <w:rFonts w:ascii="Times New Roman;serif" w:hAnsi="Times New Roman;serif"/>
          <w:b w:val="false"/>
          <w:i/>
          <w:color w:val="000000"/>
          <w:sz w:val="20"/>
        </w:rPr>
        <w:t>Controls and Procedures</w:t>
      </w:r>
      <w:r>
        <w:rPr>
          <w:rFonts w:ascii="Times New Roman;serif" w:hAnsi="Times New Roman;serif"/>
          <w:b w:val="false"/>
          <w:color w:val="000000"/>
          <w:sz w:val="20"/>
        </w:rPr>
        <w:t>, of the Company’s 2025 Form 10-K.</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implemented and operated enhanced controls over the review of HLBV calculations designed to remediate this material weakness, and the Company again operated these controls during the first quarter of 2026. Based on management’s evaluation, including the operation and testing of these controls, the Company’s management concluded that the material weakness was remediated as of March 31,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there were changes in internal control over financial reporting, specifically, modifications to certain existing internal controls and implementation of new controls and procedures as a result of CEG’s successful implementation of a new enterprise resource planning, or ERP, application to support its core business processes and data. The Company will continue to evaluate its internal control processes, including the operating effectiveness of impacted internal controls.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than the matter described above, there were no changes in the Company’s internal control over financial reporting (as such term is defined in Rule 13a-15(f) under the Exchange Act) during the quarter ended March 31, 2026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1 — LEGAL PROCEEDINGS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Information regarding risk factors appears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2025 Form 10-K. There have been no material changes in the Company’s risk factors since those reported in its 2025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6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Insider Trading Plans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(as defined in Rule 16a-1(f) of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1758"/>
        <w:gridCol w:w="1727"/>
        <w:gridCol w:w="1733"/>
        <w:gridCol w:w="109"/>
        <w:gridCol w:w="109"/>
        <w:gridCol w:w="109"/>
        <w:gridCol w:w="1115"/>
        <w:gridCol w:w="1051"/>
        <w:gridCol w:w="139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Method of Filing</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Fifth Amended and Restated Limited Liability Company Agreement of Clearway Energy LLC, dated as of May 1, 2026, by and between Clearway Energy, Inc.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3.1 to the Company’s Current Report on Form 8-K filed on May 1,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Indenture, dated as of January 13, 2026, by and among Clearway Energy Operating LLC, the guarantors named therein and CSC Delaware Trust Company,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4.1 to the Company’s Current Report on Form 8-K filed on January 13,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Form of 5.750% Senior Notes due 2034.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4.2 to the Company’s Current Report on Form 8-K filed on January 13,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Third Amended and Restated Exchange Agreement, dated as of April 1, 2026, by and among Clearway Energy, Inc., Clearway Energy LLC and Clearway Energy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10.1 to the Company’s Current Report on Form 8-K filed on April 2, 2026.</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110-q2026q1.htm">
              <w:r>
                <w:rPr>
                  <w:rStyle w:val="InternetLink"/>
                  <w:rFonts w:ascii="Times New Roman;serif" w:hAnsi="Times New Roman;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210-q2026q1.htm">
              <w:r>
                <w:rPr>
                  <w:rStyle w:val="InternetLink"/>
                  <w:rFonts w:ascii="Times New Roman;serif" w:hAnsi="Times New Roman;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210-q2026q1.htm">
              <w:r>
                <w:rPr>
                  <w:rStyle w:val="InternetLink"/>
                  <w:rFonts w:ascii="Times New Roman;serif" w:hAnsi="Times New Roman;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327" w:type="dxa"/>
        <w:jc w:val="center"/>
        <w:tblInd w:w="0" w:type="dxa"/>
        <w:tblLayout w:type="fixed"/>
        <w:tblCellMar>
          <w:top w:w="28" w:type="dxa"/>
          <w:left w:w="28" w:type="dxa"/>
          <w:bottom w:w="28" w:type="dxa"/>
          <w:right w:w="28" w:type="dxa"/>
        </w:tblCellMar>
      </w:tblPr>
      <w:tblGrid>
        <w:gridCol w:w="591"/>
        <w:gridCol w:w="520"/>
        <w:gridCol w:w="523"/>
        <w:gridCol w:w="589"/>
        <w:gridCol w:w="589"/>
        <w:gridCol w:w="589"/>
        <w:gridCol w:w="589"/>
        <w:gridCol w:w="589"/>
        <w:gridCol w:w="589"/>
        <w:gridCol w:w="589"/>
        <w:gridCol w:w="589"/>
        <w:gridCol w:w="6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2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2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Clearway Energy LLC;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 Cornelius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Clearway Energy LLC;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Sarah Rubenstein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Clearway Energy LLC on Form 10-Q for the quarter ended March 31, 2026,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1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7757/000110465926053558/tm2613250d1_ex3-1.htm" TargetMode="External"/><Relationship Id="rId4" Type="http://schemas.openxmlformats.org/officeDocument/2006/relationships/hyperlink" Target="https://www.sec.gov/Archives/edgar/data/1637757/000110465926003327/tm262987d1_ex4-1.htm" TargetMode="External"/><Relationship Id="rId5" Type="http://schemas.openxmlformats.org/officeDocument/2006/relationships/hyperlink" Target="https://www.sec.gov/Archives/edgar/data/1637757/000110465926003327/tm262987d1_ex4-1.htm" TargetMode="External"/><Relationship Id="rId6" Type="http://schemas.openxmlformats.org/officeDocument/2006/relationships/hyperlink" Target="https://www.sec.gov/Archives/edgar/data/1637757/000110465926038737/tm2610633d1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20636</Words>
  <Characters>114193</Characters>
  <CharactersWithSpaces>132884</CharactersWithSpaces>
  <Paragraphs>3296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