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550545</wp:posOffset>
            </wp:positionH>
            <wp:positionV relativeFrom="page">
              <wp:posOffset>391795</wp:posOffset>
            </wp:positionV>
            <wp:extent cx="64477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7790" cy="6985"/>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358140</wp:posOffset>
            </wp:positionV>
            <wp:extent cx="644779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7790" cy="1333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jc w:val="center"/>
        <w:ind w:right="-19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47" w:lineRule="exact"/>
        <w:rPr>
          <w:sz w:val="24"/>
          <w:szCs w:val="24"/>
          <w:color w:val="auto"/>
        </w:rPr>
      </w:pPr>
    </w:p>
    <w:p>
      <w:pPr>
        <w:ind w:left="500" w:hanging="267"/>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9" w:lineRule="exact"/>
        <w:rPr>
          <w:sz w:val="24"/>
          <w:szCs w:val="24"/>
          <w:color w:val="auto"/>
        </w:rPr>
      </w:pPr>
    </w:p>
    <w:p>
      <w:pPr>
        <w:ind w:left="500"/>
        <w:spacing w:after="0"/>
        <w:tabs>
          <w:tab w:leader="none" w:pos="2860" w:val="left"/>
        </w:tabs>
        <w:rPr>
          <w:sz w:val="20"/>
          <w:szCs w:val="20"/>
          <w:color w:val="auto"/>
        </w:rPr>
      </w:pPr>
      <w:r>
        <w:rPr>
          <w:rFonts w:ascii="Times New Roman" w:cs="Times New Roman" w:eastAsia="Times New Roman" w:hAnsi="Times New Roman"/>
          <w:sz w:val="12"/>
          <w:szCs w:val="12"/>
          <w:b w:val="1"/>
          <w:bCs w:val="1"/>
          <w:color w:val="auto"/>
        </w:rPr>
        <w:t>For the Fiscal Year ended</w:t>
      </w:r>
      <w:r>
        <w:rPr>
          <w:sz w:val="20"/>
          <w:szCs w:val="20"/>
          <w:color w:val="auto"/>
        </w:rPr>
        <w:tab/>
      </w:r>
      <w:r>
        <w:rPr>
          <w:rFonts w:ascii="Times New Roman" w:cs="Times New Roman" w:eastAsia="Times New Roman" w:hAnsi="Times New Roman"/>
          <w:sz w:val="12"/>
          <w:szCs w:val="12"/>
          <w:b w:val="1"/>
          <w:bCs w:val="1"/>
          <w:color w:val="auto"/>
        </w:rPr>
        <w:t>December 31, 2025</w:t>
      </w:r>
    </w:p>
    <w:p>
      <w:pPr>
        <w:spacing w:after="0" w:line="5" w:lineRule="exact"/>
        <w:rPr>
          <w:sz w:val="24"/>
          <w:szCs w:val="24"/>
          <w:color w:val="auto"/>
        </w:rPr>
      </w:pPr>
    </w:p>
    <w:p>
      <w:pPr>
        <w:ind w:left="500" w:hanging="267"/>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ectPr>
          <w:pgSz w:w="11900" w:h="16838" w:orient="portrait"/>
          <w:cols w:equalWidth="0" w:num="1">
            <w:col w:w="11280"/>
          </w:cols>
          <w:pgMar w:left="300" w:top="773" w:right="319" w:bottom="1440" w:gutter="0" w:footer="0" w:header="0"/>
        </w:sectPr>
      </w:pPr>
    </w:p>
    <w:p>
      <w:pPr>
        <w:ind w:left="500"/>
        <w:spacing w:after="0" w:line="233" w:lineRule="auto"/>
        <w:tabs>
          <w:tab w:leader="none" w:pos="2740" w:val="left"/>
          <w:tab w:leader="none" w:pos="3580"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r>
        <w:rPr>
          <w:sz w:val="20"/>
          <w:szCs w:val="20"/>
          <w:color w:val="auto"/>
        </w:rPr>
        <w:tab/>
      </w:r>
      <w:r>
        <w:rPr>
          <w:rFonts w:ascii="Times New Roman" w:cs="Times New Roman" w:eastAsia="Times New Roman" w:hAnsi="Times New Roman"/>
          <w:sz w:val="14"/>
          <w:szCs w:val="14"/>
          <w:b w:val="1"/>
          <w:bCs w:val="1"/>
          <w:color w:val="auto"/>
        </w:rPr>
        <w:t>.</w:t>
      </w:r>
    </w:p>
    <w:p>
      <w:pPr>
        <w:sectPr>
          <w:pgSz w:w="11900" w:h="16838" w:orient="portrait"/>
          <w:cols w:equalWidth="0" w:num="1">
            <w:col w:w="11280"/>
          </w:cols>
          <w:pgMar w:left="300" w:top="773" w:right="319" w:bottom="1440" w:gutter="0" w:footer="0" w:header="0"/>
          <w:type w:val="continuous"/>
        </w:sectPr>
      </w:pPr>
    </w:p>
    <w:p>
      <w:pPr>
        <w:spacing w:after="0" w:line="8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Commission File Number: 333-203369</w:t>
      </w:r>
    </w:p>
    <w:p>
      <w:pPr>
        <w:spacing w:after="0" w:line="3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1"/>
          <w:szCs w:val="31"/>
          <w:b w:val="1"/>
          <w:bCs w:val="1"/>
          <w:color w:val="auto"/>
        </w:rPr>
        <w:t>Clearway Energy LLC</w:t>
      </w:r>
    </w:p>
    <w:p>
      <w:pPr>
        <w:spacing w:after="0" w:line="7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ectPr>
          <w:pgSz w:w="11900" w:h="16838" w:orient="portrait"/>
          <w:cols w:equalWidth="0" w:num="1">
            <w:col w:w="11280"/>
          </w:cols>
          <w:pgMar w:left="300" w:top="773" w:right="319" w:bottom="1440" w:gutter="0" w:footer="0" w:header="0"/>
          <w:type w:val="continuous"/>
        </w:sectPr>
      </w:pPr>
    </w:p>
    <w:p>
      <w:pPr>
        <w:spacing w:after="0" w:line="3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14"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3"/>
          <w:szCs w:val="13"/>
          <w:i w:val="1"/>
          <w:iCs w:val="1"/>
          <w:color w:val="auto"/>
        </w:rPr>
        <w:t>(State or other jurisdiction of incorporation or</w:t>
      </w:r>
    </w:p>
    <w:p>
      <w:pPr>
        <w:ind w:left="1940"/>
        <w:spacing w:after="0"/>
        <w:rPr>
          <w:sz w:val="20"/>
          <w:szCs w:val="20"/>
          <w:color w:val="auto"/>
        </w:rPr>
      </w:pPr>
      <w:r>
        <w:rPr>
          <w:rFonts w:ascii="Times New Roman" w:cs="Times New Roman" w:eastAsia="Times New Roman" w:hAnsi="Times New Roman"/>
          <w:sz w:val="13"/>
          <w:szCs w:val="13"/>
          <w:i w:val="1"/>
          <w:iCs w:val="1"/>
          <w:color w:val="auto"/>
        </w:rPr>
        <w:t>organization)</w:t>
      </w:r>
    </w:p>
    <w:p>
      <w:pPr>
        <w:spacing w:after="0" w:line="4" w:lineRule="exact"/>
        <w:rPr>
          <w:sz w:val="24"/>
          <w:szCs w:val="24"/>
          <w:color w:val="auto"/>
        </w:rPr>
      </w:pPr>
    </w:p>
    <w:p>
      <w:pPr>
        <w:ind w:left="1460"/>
        <w:spacing w:after="0"/>
        <w:tabs>
          <w:tab w:leader="none" w:pos="4500" w:val="left"/>
        </w:tabs>
        <w:rPr>
          <w:sz w:val="20"/>
          <w:szCs w:val="20"/>
          <w:color w:val="auto"/>
        </w:rPr>
      </w:pPr>
      <w:r>
        <w:rPr>
          <w:rFonts w:ascii="Times New Roman" w:cs="Times New Roman" w:eastAsia="Times New Roman" w:hAnsi="Times New Roman"/>
          <w:sz w:val="13"/>
          <w:szCs w:val="13"/>
          <w:b w:val="1"/>
          <w:bCs w:val="1"/>
          <w:color w:val="auto"/>
        </w:rPr>
        <w:t>300 Carnegie Center, Suite 300</w:t>
      </w:r>
      <w:r>
        <w:rPr>
          <w:sz w:val="20"/>
          <w:szCs w:val="20"/>
          <w:color w:val="auto"/>
        </w:rPr>
        <w:tab/>
      </w:r>
      <w:r>
        <w:rPr>
          <w:rFonts w:ascii="Times New Roman" w:cs="Times New Roman" w:eastAsia="Times New Roman" w:hAnsi="Times New Roman"/>
          <w:sz w:val="12"/>
          <w:szCs w:val="12"/>
          <w:b w:val="1"/>
          <w:bCs w:val="1"/>
          <w:color w:val="auto"/>
        </w:rPr>
        <w:t>Princeton</w:t>
      </w:r>
    </w:p>
    <w:p>
      <w:pPr>
        <w:spacing w:after="0" w:line="2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Jersey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3"/>
          <w:szCs w:val="13"/>
          <w:b w:val="1"/>
          <w:bCs w:val="1"/>
          <w:color w:val="auto"/>
        </w:rPr>
        <w:t>32-0407370</w:t>
      </w:r>
    </w:p>
    <w:p>
      <w:pPr>
        <w:spacing w:after="0" w:line="14"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3"/>
          <w:szCs w:val="13"/>
          <w:i w:val="1"/>
          <w:iCs w:val="1"/>
          <w:color w:val="auto"/>
        </w:rPr>
        <w:t>(I.R.S. Employer</w:t>
      </w:r>
    </w:p>
    <w:p>
      <w:pPr>
        <w:jc w:val="center"/>
        <w:ind w:right="1680"/>
        <w:spacing w:after="0"/>
        <w:rPr>
          <w:sz w:val="20"/>
          <w:szCs w:val="20"/>
          <w:color w:val="auto"/>
        </w:rPr>
      </w:pPr>
      <w:r>
        <w:rPr>
          <w:rFonts w:ascii="Times New Roman" w:cs="Times New Roman" w:eastAsia="Times New Roman" w:hAnsi="Times New Roman"/>
          <w:sz w:val="12"/>
          <w:szCs w:val="12"/>
          <w:i w:val="1"/>
          <w:iCs w:val="1"/>
          <w:color w:val="auto"/>
        </w:rPr>
        <w:t>Identification No.)</w:t>
      </w:r>
    </w:p>
    <w:p>
      <w:pPr>
        <w:spacing w:after="0" w:line="16"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3"/>
          <w:szCs w:val="13"/>
          <w:b w:val="1"/>
          <w:bCs w:val="1"/>
          <w:color w:val="auto"/>
        </w:rPr>
        <w:t>08540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3"/>
          <w:szCs w:val="13"/>
          <w:i w:val="1"/>
          <w:iCs w:val="1"/>
          <w:color w:val="auto"/>
        </w:rPr>
        <w:t>(Zip Code)</w:t>
      </w:r>
    </w:p>
    <w:p>
      <w:pPr>
        <w:spacing w:after="0" w:line="84" w:lineRule="exact"/>
        <w:rPr>
          <w:sz w:val="24"/>
          <w:szCs w:val="24"/>
          <w:color w:val="auto"/>
        </w:rPr>
      </w:pPr>
    </w:p>
    <w:p>
      <w:pPr>
        <w:sectPr>
          <w:pgSz w:w="11900" w:h="16838" w:orient="portrait"/>
          <w:cols w:equalWidth="0" w:num="3">
            <w:col w:w="5760" w:space="720"/>
            <w:col w:w="1460" w:space="720"/>
            <w:col w:w="2620"/>
          </w:cols>
          <w:pgMar w:left="300" w:top="773" w:right="3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(609) 608-1525</w:t>
      </w:r>
    </w:p>
    <w:p>
      <w:pPr>
        <w:spacing w:after="0" w:line="1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i w:val="1"/>
          <w:iCs w:val="1"/>
          <w:color w:val="auto"/>
        </w:rPr>
        <w:t>(Registrant’s telephone number, including area code)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ectPr>
          <w:pgSz w:w="11900" w:h="16838" w:orient="portrait"/>
          <w:cols w:equalWidth="0" w:num="1">
            <w:col w:w="11280"/>
          </w:cols>
          <w:pgMar w:left="300" w:top="773" w:right="319" w:bottom="1440" w:gutter="0" w:footer="0" w:header="0"/>
          <w:type w:val="continuous"/>
        </w:sectPr>
      </w:pPr>
    </w:p>
    <w:p>
      <w:pPr>
        <w:spacing w:after="0" w:line="2"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 xml:space="preserve">No </w:t>
      </w:r>
      <w:r>
        <w:rPr>
          <w:rFonts w:ascii="Wingdings" w:cs="Wingdings" w:eastAsia="Wingdings" w:hAnsi="Wingdings"/>
          <w:sz w:val="11"/>
          <w:szCs w:val="11"/>
          <w:b w:val="1"/>
          <w:bCs w:val="1"/>
          <w:color w:val="auto"/>
        </w:rPr>
        <w:t>x</w:t>
      </w:r>
    </w:p>
    <w:p>
      <w:pPr>
        <w:spacing w:after="0" w:line="94" w:lineRule="exact"/>
        <w:rPr>
          <w:sz w:val="24"/>
          <w:szCs w:val="24"/>
          <w:color w:val="auto"/>
        </w:rPr>
      </w:pPr>
    </w:p>
    <w:p>
      <w:pPr>
        <w:sectPr>
          <w:pgSz w:w="11900" w:h="16838" w:orient="portrait"/>
          <w:cols w:equalWidth="0" w:num="3">
            <w:col w:w="5500" w:space="460"/>
            <w:col w:w="280" w:space="120"/>
            <w:col w:w="4920"/>
          </w:cols>
          <w:pgMar w:left="300" w:top="773" w:right="31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 xml:space="preserve">No </w:t>
      </w:r>
      <w:r>
        <w:rPr>
          <w:rFonts w:ascii="Wingdings" w:cs="Wingdings" w:eastAsia="Wingdings" w:hAnsi="Wingdings"/>
          <w:sz w:val="10"/>
          <w:szCs w:val="10"/>
          <w:b w:val="1"/>
          <w:bCs w:val="1"/>
          <w:color w:val="auto"/>
        </w:rPr>
        <w:t>o</w:t>
      </w:r>
    </w:p>
    <w:p>
      <w:pPr>
        <w:spacing w:after="0" w:line="107" w:lineRule="exact"/>
        <w:rPr>
          <w:sz w:val="24"/>
          <w:szCs w:val="24"/>
          <w:color w:val="auto"/>
        </w:rPr>
      </w:pPr>
    </w:p>
    <w:p>
      <w:pPr>
        <w:sectPr>
          <w:pgSz w:w="11900" w:h="16838" w:orient="portrait"/>
          <w:cols w:equalWidth="0" w:num="3">
            <w:col w:w="6080" w:space="320"/>
            <w:col w:w="300" w:space="120"/>
            <w:col w:w="4460"/>
          </w:cols>
          <w:pgMar w:left="300" w:top="773" w:right="31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w:t>
      </w:r>
    </w:p>
    <w:p>
      <w:pPr>
        <w:spacing w:after="0" w:line="22" w:lineRule="exact"/>
        <w:rPr>
          <w:sz w:val="24"/>
          <w:szCs w:val="24"/>
          <w:color w:val="auto"/>
        </w:rPr>
      </w:pPr>
    </w:p>
    <w:p>
      <w:pPr>
        <w:spacing w:after="0"/>
        <w:tabs>
          <w:tab w:leader="none" w:pos="5760" w:val="left"/>
          <w:tab w:leader="none" w:pos="6180" w:val="left"/>
        </w:tabs>
        <w:rPr>
          <w:sz w:val="20"/>
          <w:szCs w:val="20"/>
          <w:color w:val="auto"/>
        </w:rPr>
      </w:pPr>
      <w:r>
        <w:rPr>
          <w:rFonts w:ascii="Times New Roman" w:cs="Times New Roman" w:eastAsia="Times New Roman" w:hAnsi="Times New Roman"/>
          <w:sz w:val="11"/>
          <w:szCs w:val="11"/>
          <w:color w:val="auto"/>
        </w:rPr>
        <w:t>to file such reports), and (2) has been subject to such filing requirements for the past 90 days.</w:t>
      </w:r>
      <w:r>
        <w:rPr>
          <w:sz w:val="20"/>
          <w:szCs w:val="20"/>
          <w:color w:val="auto"/>
        </w:rPr>
        <w:tab/>
      </w:r>
      <w:r>
        <w:rPr>
          <w:rFonts w:ascii="Times New Roman" w:cs="Times New Roman" w:eastAsia="Times New Roman" w:hAnsi="Times New Roman"/>
          <w:sz w:val="11"/>
          <w:szCs w:val="11"/>
          <w:color w:val="auto"/>
        </w:rPr>
        <w:t xml:space="preserve">Yes </w:t>
      </w:r>
      <w:r>
        <w:rPr>
          <w:rFonts w:ascii="Wingdings" w:cs="Wingdings" w:eastAsia="Wingdings" w:hAnsi="Wingdings"/>
          <w:sz w:val="11"/>
          <w:szCs w:val="11"/>
          <w:b w:val="1"/>
          <w:bCs w:val="1"/>
          <w:color w:val="auto"/>
        </w:rPr>
        <w:t>x</w:t>
      </w:r>
      <w:r>
        <w:rPr>
          <w:sz w:val="20"/>
          <w:szCs w:val="20"/>
          <w:color w:val="auto"/>
        </w:rPr>
        <w:tab/>
      </w:r>
      <w:r>
        <w:rPr>
          <w:rFonts w:ascii="Times New Roman" w:cs="Times New Roman" w:eastAsia="Times New Roman" w:hAnsi="Times New Roman"/>
          <w:sz w:val="10"/>
          <w:szCs w:val="10"/>
          <w:color w:val="auto"/>
        </w:rPr>
        <w:t xml:space="preserve">No </w:t>
      </w:r>
      <w:r>
        <w:rPr>
          <w:rFonts w:ascii="Wingdings" w:cs="Wingdings" w:eastAsia="Wingdings" w:hAnsi="Wingdings"/>
          <w:sz w:val="10"/>
          <w:szCs w:val="10"/>
          <w:b w:val="1"/>
          <w:bCs w:val="1"/>
          <w:color w:val="auto"/>
        </w:rPr>
        <w:t>o</w:t>
      </w:r>
    </w:p>
    <w:p>
      <w:pPr>
        <w:spacing w:after="0" w:line="202" w:lineRule="exact"/>
        <w:rPr>
          <w:sz w:val="24"/>
          <w:szCs w:val="24"/>
          <w:color w:val="auto"/>
        </w:rPr>
      </w:pPr>
    </w:p>
    <w:p>
      <w:pPr>
        <w:ind w:firstLine="191"/>
        <w:spacing w:after="0" w:line="30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51" w:lineRule="exact"/>
        <w:rPr>
          <w:sz w:val="24"/>
          <w:szCs w:val="24"/>
          <w:color w:val="auto"/>
        </w:rPr>
      </w:pPr>
    </w:p>
    <w:p>
      <w:pPr>
        <w:ind w:firstLine="191"/>
        <w:spacing w:after="0" w:line="26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cs="Times New Roman" w:eastAsia="Times New Roman" w:hAnsi="Times New Roman"/>
          <w:sz w:val="12"/>
          <w:szCs w:val="12"/>
          <w:color w:val="auto"/>
        </w:rPr>
        <w:t>.</w:t>
      </w:r>
    </w:p>
    <w:p>
      <w:pPr>
        <w:spacing w:after="0" w:line="1" w:lineRule="exact"/>
        <w:rPr>
          <w:sz w:val="24"/>
          <w:szCs w:val="24"/>
          <w:color w:val="auto"/>
        </w:rPr>
      </w:pPr>
    </w:p>
    <w:tbl>
      <w:tblPr>
        <w:tblLayout w:type="fixed"/>
        <w:tblInd w:w="1520" w:type="dxa"/>
        <w:tblCellMar>
          <w:top w:w="0" w:type="dxa"/>
          <w:left w:w="0" w:type="dxa"/>
          <w:bottom w:w="0" w:type="dxa"/>
          <w:right w:w="0" w:type="dxa"/>
        </w:tblCellMar>
      </w:tblPr>
      <w:tr>
        <w:trPr>
          <w:trHeight w:val="179"/>
        </w:trPr>
        <w:tc>
          <w:tcPr>
            <w:tcW w:w="1960" w:type="dxa"/>
            <w:vAlign w:val="bottom"/>
          </w:tcPr>
          <w:p>
            <w:pPr>
              <w:jc w:val="center"/>
              <w:ind w:right="756"/>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150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28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Accelerated filer</w:t>
            </w:r>
          </w:p>
        </w:tc>
        <w:tc>
          <w:tcPr>
            <w:tcW w:w="1040" w:type="dxa"/>
            <w:vAlign w:val="bottom"/>
          </w:tcPr>
          <w:p>
            <w:pPr>
              <w:ind w:left="9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1960" w:type="dxa"/>
            <w:vAlign w:val="bottom"/>
          </w:tcPr>
          <w:p>
            <w:pPr>
              <w:jc w:val="center"/>
              <w:ind w:right="736"/>
              <w:spacing w:after="0"/>
              <w:rPr>
                <w:sz w:val="20"/>
                <w:szCs w:val="20"/>
                <w:color w:val="auto"/>
              </w:rPr>
            </w:pPr>
            <w:r>
              <w:rPr>
                <w:rFonts w:ascii="Times New Roman" w:cs="Times New Roman" w:eastAsia="Times New Roman" w:hAnsi="Times New Roman"/>
                <w:sz w:val="13"/>
                <w:szCs w:val="13"/>
                <w:color w:val="auto"/>
                <w:w w:val="98"/>
              </w:rPr>
              <w:t>Non-accelerated filer</w:t>
            </w:r>
          </w:p>
        </w:tc>
        <w:tc>
          <w:tcPr>
            <w:tcW w:w="150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28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40" w:type="dxa"/>
            <w:vAlign w:val="bottom"/>
          </w:tcPr>
          <w:p>
            <w:pPr>
              <w:ind w:left="9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1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040" w:type="dxa"/>
            <w:vAlign w:val="bottom"/>
          </w:tcPr>
          <w:p>
            <w:pPr>
              <w:ind w:left="9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1" w:lineRule="exact"/>
        <w:rPr>
          <w:sz w:val="24"/>
          <w:szCs w:val="24"/>
          <w:color w:val="auto"/>
        </w:rPr>
      </w:pPr>
    </w:p>
    <w:p>
      <w:pPr>
        <w:ind w:firstLine="191"/>
        <w:spacing w:after="0" w:line="280"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ind w:left="200"/>
        <w:spacing w:after="0" w:line="127" w:lineRule="exact"/>
        <w:tabs>
          <w:tab w:leader="none" w:pos="4940" w:val="left"/>
          <w:tab w:leader="none" w:pos="536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Wingdings" w:cs="Wingdings" w:eastAsia="Wingdings" w:hAnsi="Wingdings"/>
          <w:sz w:val="11"/>
          <w:szCs w:val="11"/>
          <w:b w:val="1"/>
          <w:bCs w:val="1"/>
          <w:color w:val="auto"/>
        </w:rPr>
        <w:t>x</w:t>
      </w:r>
    </w:p>
    <w:p>
      <w:pPr>
        <w:spacing w:after="0" w:line="56" w:lineRule="exact"/>
        <w:rPr>
          <w:sz w:val="24"/>
          <w:szCs w:val="24"/>
          <w:color w:val="auto"/>
        </w:rPr>
      </w:pPr>
    </w:p>
    <w:p>
      <w:pPr>
        <w:ind w:firstLine="191"/>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5"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 of the registrant included in the filing reflect the correction of an error to previously issued financial</w:t>
      </w:r>
    </w:p>
    <w:p>
      <w:pPr>
        <w:spacing w:after="0" w:line="20" w:lineRule="exact"/>
        <w:rPr>
          <w:sz w:val="24"/>
          <w:szCs w:val="24"/>
          <w:color w:val="auto"/>
        </w:rPr>
      </w:pPr>
    </w:p>
    <w:p>
      <w:pPr>
        <w:spacing w:after="0" w:line="127" w:lineRule="exact"/>
        <w:tabs>
          <w:tab w:leader="none" w:pos="1620" w:val="left"/>
        </w:tabs>
        <w:rPr>
          <w:sz w:val="20"/>
          <w:szCs w:val="20"/>
          <w:color w:val="auto"/>
        </w:rPr>
      </w:pPr>
      <w:r>
        <w:rPr>
          <w:rFonts w:ascii="Times New Roman" w:cs="Times New Roman" w:eastAsia="Times New Roman" w:hAnsi="Times New Roman"/>
          <w:sz w:val="11"/>
          <w:szCs w:val="11"/>
          <w:color w:val="auto"/>
        </w:rPr>
        <w:t>statements.</w:t>
      </w:r>
      <w:r>
        <w:rPr>
          <w:sz w:val="20"/>
          <w:szCs w:val="20"/>
          <w:color w:val="auto"/>
        </w:rPr>
        <w:tab/>
      </w:r>
      <w:r>
        <w:rPr>
          <w:rFonts w:ascii="MS PGothic" w:cs="MS PGothic" w:eastAsia="MS PGothic" w:hAnsi="MS PGothic"/>
          <w:sz w:val="11"/>
          <w:szCs w:val="11"/>
          <w:color w:val="auto"/>
        </w:rPr>
        <w:t>☐</w:t>
      </w:r>
    </w:p>
    <w:p>
      <w:pPr>
        <w:spacing w:after="0" w:line="5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19" w:lineRule="exact"/>
        <w:rPr>
          <w:sz w:val="24"/>
          <w:szCs w:val="24"/>
          <w:color w:val="auto"/>
        </w:rPr>
      </w:pPr>
    </w:p>
    <w:p>
      <w:pPr>
        <w:spacing w:after="0" w:line="127" w:lineRule="exact"/>
        <w:tabs>
          <w:tab w:leader="none" w:pos="1600" w:val="left"/>
        </w:tabs>
        <w:rPr>
          <w:sz w:val="20"/>
          <w:szCs w:val="20"/>
          <w:color w:val="auto"/>
        </w:rPr>
      </w:pPr>
      <w:r>
        <w:rPr>
          <w:rFonts w:ascii="Times New Roman" w:cs="Times New Roman" w:eastAsia="Times New Roman" w:hAnsi="Times New Roman"/>
          <w:sz w:val="11"/>
          <w:szCs w:val="11"/>
          <w:color w:val="auto"/>
        </w:rPr>
        <w:t>to §240.10D-1(b).</w:t>
      </w:r>
      <w:r>
        <w:rPr>
          <w:sz w:val="20"/>
          <w:szCs w:val="20"/>
          <w:color w:val="auto"/>
        </w:rPr>
        <w:tab/>
      </w:r>
      <w:r>
        <w:rPr>
          <w:rFonts w:ascii="MS PGothic" w:cs="MS PGothic" w:eastAsia="MS PGothic" w:hAnsi="MS PGothic"/>
          <w:sz w:val="10"/>
          <w:szCs w:val="10"/>
          <w:color w:val="auto"/>
        </w:rPr>
        <w:t>☐</w:t>
      </w:r>
    </w:p>
    <w:p>
      <w:pPr>
        <w:spacing w:after="0" w:line="4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Clearway Energy LLC’s outstanding equity interests are held by Clearway Energy, Inc. and Clearway Energy Group LLC and there are no equity interests held by non-affiliates.</w:t>
      </w:r>
    </w:p>
    <w:p>
      <w:pPr>
        <w:spacing w:after="0" w:line="4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the number of shares outstanding of each of the registrant’s classes of common stock as of the latest practicable date. There is no public market for the registrant’s outstanding units.</w:t>
      </w:r>
    </w:p>
    <w:p>
      <w:pPr>
        <w:spacing w:after="0" w:line="39" w:lineRule="exact"/>
        <w:rPr>
          <w:sz w:val="24"/>
          <w:szCs w:val="24"/>
          <w:color w:val="auto"/>
        </w:rPr>
      </w:pPr>
    </w:p>
    <w:tbl>
      <w:tblPr>
        <w:tblLayout w:type="fixed"/>
        <w:tblInd w:w="3520" w:type="dxa"/>
        <w:tblCellMar>
          <w:top w:w="0" w:type="dxa"/>
          <w:left w:w="0" w:type="dxa"/>
          <w:bottom w:w="0" w:type="dxa"/>
          <w:right w:w="0" w:type="dxa"/>
        </w:tblCellMar>
      </w:tblPr>
      <w:tr>
        <w:trPr>
          <w:trHeight w:val="138"/>
        </w:trPr>
        <w:tc>
          <w:tcPr>
            <w:tcW w:w="200" w:type="dxa"/>
            <w:vAlign w:val="bottom"/>
          </w:tcPr>
          <w:p>
            <w:pPr>
              <w:spacing w:after="0"/>
              <w:rPr>
                <w:sz w:val="12"/>
                <w:szCs w:val="12"/>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Class</w:t>
            </w: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Outstanding at January 31, 2026</w:t>
            </w:r>
          </w:p>
        </w:tc>
      </w:tr>
      <w:tr>
        <w:trPr>
          <w:trHeight w:val="165"/>
        </w:trPr>
        <w:tc>
          <w:tcPr>
            <w:tcW w:w="1980" w:type="dxa"/>
            <w:vAlign w:val="bottom"/>
            <w:gridSpan w:val="3"/>
          </w:tcPr>
          <w:p>
            <w:pPr>
              <w:jc w:val="center"/>
              <w:ind w:right="1300"/>
              <w:spacing w:after="0"/>
              <w:rPr>
                <w:sz w:val="20"/>
                <w:szCs w:val="20"/>
                <w:color w:val="auto"/>
              </w:rPr>
            </w:pPr>
            <w:r>
              <w:rPr>
                <w:rFonts w:ascii="Times New Roman" w:cs="Times New Roman" w:eastAsia="Times New Roman" w:hAnsi="Times New Roman"/>
                <w:sz w:val="12"/>
                <w:szCs w:val="12"/>
                <w:color w:val="auto"/>
              </w:rPr>
              <w:t>Class A Units</w:t>
            </w:r>
          </w:p>
        </w:tc>
        <w:tc>
          <w:tcPr>
            <w:tcW w:w="2980" w:type="dxa"/>
            <w:vAlign w:val="bottom"/>
            <w:gridSpan w:val="2"/>
          </w:tcPr>
          <w:p>
            <w:pPr>
              <w:jc w:val="center"/>
              <w:ind w:left="1260"/>
              <w:spacing w:after="0"/>
              <w:rPr>
                <w:sz w:val="20"/>
                <w:szCs w:val="20"/>
                <w:color w:val="auto"/>
              </w:rPr>
            </w:pPr>
            <w:r>
              <w:rPr>
                <w:rFonts w:ascii="Times New Roman" w:cs="Times New Roman" w:eastAsia="Times New Roman" w:hAnsi="Times New Roman"/>
                <w:sz w:val="12"/>
                <w:szCs w:val="12"/>
                <w:color w:val="auto"/>
                <w:w w:val="99"/>
              </w:rPr>
              <w:t>34,613,853</w:t>
            </w:r>
          </w:p>
        </w:tc>
      </w:tr>
      <w:tr>
        <w:trPr>
          <w:trHeight w:val="159"/>
        </w:trPr>
        <w:tc>
          <w:tcPr>
            <w:tcW w:w="1980" w:type="dxa"/>
            <w:vAlign w:val="bottom"/>
            <w:gridSpan w:val="3"/>
          </w:tcPr>
          <w:p>
            <w:pPr>
              <w:jc w:val="center"/>
              <w:ind w:right="1280"/>
              <w:spacing w:after="0"/>
              <w:rPr>
                <w:sz w:val="20"/>
                <w:szCs w:val="20"/>
                <w:color w:val="auto"/>
              </w:rPr>
            </w:pPr>
            <w:r>
              <w:rPr>
                <w:rFonts w:ascii="Times New Roman" w:cs="Times New Roman" w:eastAsia="Times New Roman" w:hAnsi="Times New Roman"/>
                <w:sz w:val="12"/>
                <w:szCs w:val="12"/>
                <w:color w:val="auto"/>
                <w:w w:val="99"/>
              </w:rPr>
              <w:t>Class B Units</w:t>
            </w:r>
          </w:p>
        </w:tc>
        <w:tc>
          <w:tcPr>
            <w:tcW w:w="2980" w:type="dxa"/>
            <w:vAlign w:val="bottom"/>
            <w:gridSpan w:val="2"/>
          </w:tcPr>
          <w:p>
            <w:pPr>
              <w:jc w:val="center"/>
              <w:ind w:left="1260"/>
              <w:spacing w:after="0"/>
              <w:rPr>
                <w:sz w:val="20"/>
                <w:szCs w:val="20"/>
                <w:color w:val="auto"/>
              </w:rPr>
            </w:pPr>
            <w:r>
              <w:rPr>
                <w:rFonts w:ascii="Times New Roman" w:cs="Times New Roman" w:eastAsia="Times New Roman" w:hAnsi="Times New Roman"/>
                <w:sz w:val="12"/>
                <w:szCs w:val="12"/>
                <w:color w:val="auto"/>
                <w:w w:val="99"/>
              </w:rPr>
              <w:t>42,738,750</w:t>
            </w:r>
          </w:p>
        </w:tc>
      </w:tr>
      <w:tr>
        <w:trPr>
          <w:trHeight w:val="159"/>
        </w:trPr>
        <w:tc>
          <w:tcPr>
            <w:tcW w:w="1980" w:type="dxa"/>
            <w:vAlign w:val="bottom"/>
            <w:gridSpan w:val="3"/>
          </w:tcPr>
          <w:p>
            <w:pPr>
              <w:jc w:val="center"/>
              <w:ind w:right="1280"/>
              <w:spacing w:after="0"/>
              <w:rPr>
                <w:sz w:val="20"/>
                <w:szCs w:val="20"/>
                <w:color w:val="auto"/>
              </w:rPr>
            </w:pPr>
            <w:r>
              <w:rPr>
                <w:rFonts w:ascii="Times New Roman" w:cs="Times New Roman" w:eastAsia="Times New Roman" w:hAnsi="Times New Roman"/>
                <w:sz w:val="12"/>
                <w:szCs w:val="12"/>
                <w:color w:val="auto"/>
                <w:w w:val="99"/>
              </w:rPr>
              <w:t>Class C Units</w:t>
            </w:r>
          </w:p>
        </w:tc>
        <w:tc>
          <w:tcPr>
            <w:tcW w:w="2980" w:type="dxa"/>
            <w:vAlign w:val="bottom"/>
            <w:gridSpan w:val="2"/>
          </w:tcPr>
          <w:p>
            <w:pPr>
              <w:jc w:val="center"/>
              <w:ind w:left="1260"/>
              <w:spacing w:after="0"/>
              <w:rPr>
                <w:sz w:val="20"/>
                <w:szCs w:val="20"/>
                <w:color w:val="auto"/>
              </w:rPr>
            </w:pPr>
            <w:r>
              <w:rPr>
                <w:rFonts w:ascii="Times New Roman" w:cs="Times New Roman" w:eastAsia="Times New Roman" w:hAnsi="Times New Roman"/>
                <w:sz w:val="12"/>
                <w:szCs w:val="12"/>
                <w:color w:val="auto"/>
                <w:w w:val="99"/>
              </w:rPr>
              <w:t>86,290,173</w:t>
            </w:r>
          </w:p>
        </w:tc>
      </w:tr>
      <w:tr>
        <w:trPr>
          <w:trHeight w:val="159"/>
        </w:trPr>
        <w:tc>
          <w:tcPr>
            <w:tcW w:w="1980" w:type="dxa"/>
            <w:vAlign w:val="bottom"/>
            <w:gridSpan w:val="3"/>
          </w:tcPr>
          <w:p>
            <w:pPr>
              <w:jc w:val="center"/>
              <w:ind w:right="1300"/>
              <w:spacing w:after="0"/>
              <w:rPr>
                <w:sz w:val="20"/>
                <w:szCs w:val="20"/>
                <w:color w:val="auto"/>
              </w:rPr>
            </w:pPr>
            <w:r>
              <w:rPr>
                <w:rFonts w:ascii="Times New Roman" w:cs="Times New Roman" w:eastAsia="Times New Roman" w:hAnsi="Times New Roman"/>
                <w:sz w:val="12"/>
                <w:szCs w:val="12"/>
                <w:color w:val="auto"/>
              </w:rPr>
              <w:t>Class D Units</w:t>
            </w:r>
          </w:p>
        </w:tc>
        <w:tc>
          <w:tcPr>
            <w:tcW w:w="2980" w:type="dxa"/>
            <w:vAlign w:val="bottom"/>
            <w:gridSpan w:val="2"/>
          </w:tcPr>
          <w:p>
            <w:pPr>
              <w:jc w:val="center"/>
              <w:ind w:left="1260"/>
              <w:spacing w:after="0"/>
              <w:rPr>
                <w:sz w:val="20"/>
                <w:szCs w:val="20"/>
                <w:color w:val="auto"/>
              </w:rPr>
            </w:pPr>
            <w:r>
              <w:rPr>
                <w:rFonts w:ascii="Times New Roman" w:cs="Times New Roman" w:eastAsia="Times New Roman" w:hAnsi="Times New Roman"/>
                <w:sz w:val="12"/>
                <w:szCs w:val="12"/>
                <w:color w:val="auto"/>
                <w:w w:val="99"/>
              </w:rPr>
              <w:t>41,576,142</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304800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41275</wp:posOffset>
            </wp:positionV>
            <wp:extent cx="644779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7790" cy="1333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20955</wp:posOffset>
            </wp:positionV>
            <wp:extent cx="64477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104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0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GLOSSARY OF TERMS</w:t>
            </w:r>
          </w:p>
        </w:tc>
        <w:tc>
          <w:tcPr>
            <w:tcW w:w="140" w:type="dxa"/>
            <w:vAlign w:val="bottom"/>
            <w:gridSpan w:val="2"/>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 — Business</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1A — Risk Factors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1B — Unresolved Staff Comments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1C — Cybersecurity</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2 — Properties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3 — Legal Proceedings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4 — Mine Safety Disclosures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5 — Market for Registrant’s Common Equity, Related Stockholder Matters and Issuer Purchases of Equity Securities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6 — Reserved</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7 — Management’s Discussion and Analysis of Financial Condition and Results of Operations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7A — Quantitative and Qualitative Disclosures About Market Risk</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8 — Financial Statements and Supplementary Data</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 — Changes in and Disagreements with Accountants on Accounting and Financial Disclosure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9A — Controls and Procedures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9B — Other Information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10 — Information about Directors, Executive Officers and Corporate Governance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11 — Executive Compensation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12 — Security Ownership of Certain Beneficial Owners and Management and Related Stockholder Matters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13 — Certain Relationships and Related Transactions, and Director Independence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14 — Principal Accounting Fees and Services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15 — Exhibits, Financial Statement Schedules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4"/>
                <w:szCs w:val="14"/>
                <w:color w:val="0000FF"/>
                <w:w w:val="95"/>
              </w:rPr>
              <w:t>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16 — Form 10-K Summary</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4"/>
                <w:szCs w:val="14"/>
                <w:color w:val="0000FF"/>
                <w:w w:val="95"/>
              </w:rPr>
              <w:t>154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1"/>
        </w:trPr>
        <w:tc>
          <w:tcPr>
            <w:tcW w:w="1104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886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GLOSSARY OF TERMS</w:t>
            </w:r>
          </w:p>
        </w:tc>
      </w:tr>
      <w:tr>
        <w:trPr>
          <w:trHeight w:val="297"/>
        </w:trPr>
        <w:tc>
          <w:tcPr>
            <w:tcW w:w="11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$850 million aggregate principal amount of 4.75% unsecured senior notes due 2028,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$925 million aggregate principal amount of 3.75% unsecured senior notes due 2031,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$350 million aggregate principal amount of 3.75% unsecured senior notes due 2032,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2034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$600 million aggregate principal amount of 5.75% unsecured senior notes due 2034, issued by Clearway Energy Operating LLC</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 for</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mark-to-market gains or losses, asset write offs and impairments; and factors which the Company does not consider indicative of future operating</w:t>
            </w:r>
          </w:p>
        </w:tc>
      </w:tr>
      <w:tr>
        <w:trPr>
          <w:trHeight w:val="180"/>
        </w:trPr>
        <w:tc>
          <w:tcPr>
            <w:tcW w:w="2420" w:type="dxa"/>
            <w:vAlign w:val="bottom"/>
          </w:tcPr>
          <w:p>
            <w:pPr>
              <w:spacing w:after="0"/>
              <w:rPr>
                <w:sz w:val="15"/>
                <w:szCs w:val="15"/>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performance</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Asset Retirement Obligation</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 authoritative GAAP</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Accounting Standards Updates – updates to the ASC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At-the-Market Equity Offering Program</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BESS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Battery energy storage system</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Black Start</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The capability of a generating asset to restore the grid in the event of a blackout without relying on the external electric power transmission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network</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CAFD</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December 31, 2025 as Adjusted EBITDA plus cash distributions/return of</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investment from unconsolidated affiliates, cash receipts from notes receivable, cash contributions from noncontrolling interests, adjustments to</w:t>
            </w:r>
          </w:p>
        </w:tc>
      </w:tr>
      <w:tr>
        <w:trPr>
          <w:trHeight w:val="142"/>
        </w:trPr>
        <w:tc>
          <w:tcPr>
            <w:tcW w:w="2420" w:type="dxa"/>
            <w:vAlign w:val="bottom"/>
          </w:tcPr>
          <w:p>
            <w:pPr>
              <w:spacing w:after="0"/>
              <w:rPr>
                <w:sz w:val="12"/>
                <w:szCs w:val="12"/>
                <w:color w:val="auto"/>
              </w:rPr>
            </w:pP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r>
      <w:tr>
        <w:trPr>
          <w:trHeight w:val="138"/>
        </w:trPr>
        <w:tc>
          <w:tcPr>
            <w:tcW w:w="2420" w:type="dxa"/>
            <w:vAlign w:val="bottom"/>
          </w:tcPr>
          <w:p>
            <w:pPr>
              <w:spacing w:after="0"/>
              <w:rPr>
                <w:sz w:val="11"/>
                <w:szCs w:val="11"/>
                <w:color w:val="auto"/>
              </w:rPr>
            </w:pPr>
          </w:p>
        </w:tc>
        <w:tc>
          <w:tcPr>
            <w:tcW w:w="8860" w:type="dxa"/>
            <w:vAlign w:val="bottom"/>
          </w:tcPr>
          <w:p>
            <w:pPr>
              <w:ind w:left="48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CAISO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California Independent System Operator</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Capistrano Portfolio Holdco LLC</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The holding company that owns four wind facilities representing 263 MW of capacity, which includes Broken Bow, Crofton Bluffs, Mountain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Wind 1 and Mountain Wind 2</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Capistrano Wind Portfolio</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Portfolio of wind facilities acquired from Clearway Renew on August 22, 2022, which includes Broken Bow, Cedro Hill, Crofton Bluffs, Mountain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Wind 1 and Mountain Wind 2</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Catalina</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109 MW solar facility located in Kern County, California that the Company leases and operates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Amended and Restated Master Services Agreement and Payroll Sharing Agreement, effective as of January 1, 2025, among the Company,</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Inc., Clearway Energy Finance Inc., Clearway Energy Operating LLC and CEG</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Inc.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Inc., the holder of the Company’s Class A and Class C units</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Clearway Energy Group LLC</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The holder of all shares of Clearway, Inc.’s Class B and Class D common stock and the Company’s Class B and Class D units and, from time to</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time, possibly shares of Clearway, Inc.’s Class A and/or Class C common stock. Clearway Energy Group LLC is a leading developer of renewable,</w:t>
            </w:r>
          </w:p>
        </w:tc>
      </w:tr>
      <w:tr>
        <w:trPr>
          <w:trHeight w:val="180"/>
        </w:trPr>
        <w:tc>
          <w:tcPr>
            <w:tcW w:w="2420" w:type="dxa"/>
            <w:vAlign w:val="bottom"/>
          </w:tcPr>
          <w:p>
            <w:pPr>
              <w:spacing w:after="0"/>
              <w:rPr>
                <w:sz w:val="15"/>
                <w:szCs w:val="15"/>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energy storage and power infrastructure in the U.S.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holder of the facilities that are owned by the Company</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Renew</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Renew LLC, a subsidiary of CEG, and its wholly-owned subsidiaries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Commercial Operation Date</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Code</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LLC, together with its consolidated subsidiaries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California Valley Solar Ranch</w:t>
            </w:r>
          </w:p>
        </w:tc>
      </w:tr>
      <w:tr>
        <w:trPr>
          <w:trHeight w:val="184"/>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r>
      <w:tr>
        <w:trPr>
          <w:trHeight w:val="679"/>
        </w:trPr>
        <w:tc>
          <w:tcPr>
            <w:tcW w:w="2420" w:type="dxa"/>
            <w:vAlign w:val="bottom"/>
          </w:tcPr>
          <w:p>
            <w:pPr>
              <w:spacing w:after="0"/>
              <w:rPr>
                <w:sz w:val="24"/>
                <w:szCs w:val="24"/>
                <w:color w:val="auto"/>
              </w:rPr>
            </w:pPr>
          </w:p>
        </w:tc>
        <w:tc>
          <w:tcPr>
            <w:tcW w:w="886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3</w:t>
            </w:r>
          </w:p>
        </w:tc>
      </w:tr>
      <w:tr>
        <w:trPr>
          <w:trHeight w:val="87"/>
        </w:trPr>
        <w:tc>
          <w:tcPr>
            <w:tcW w:w="2420" w:type="dxa"/>
            <w:vAlign w:val="bottom"/>
            <w:tcBorders>
              <w:bottom w:val="single" w:sz="8" w:color="9A9A9A"/>
            </w:tcBorders>
          </w:tcPr>
          <w:p>
            <w:pPr>
              <w:spacing w:after="0"/>
              <w:rPr>
                <w:sz w:val="7"/>
                <w:szCs w:val="7"/>
                <w:color w:val="auto"/>
              </w:rPr>
            </w:pPr>
          </w:p>
        </w:tc>
        <w:tc>
          <w:tcPr>
            <w:tcW w:w="8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Daggett 1 Class B</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Daggett 1 Class B Member LLC, the indirect owner of Daggett 1</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Dan’s Mountain TargetCo</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Dan’s Mountain TargetCo LLC, a partnership and the indirect owner of Dan’s Mountain</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 Solar Portfolio</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613 MW operational solar portfolio located in eight states that the Company entered into a binding agreement on October 3, 2025 to acquire</w:t>
            </w:r>
          </w:p>
        </w:tc>
      </w:tr>
      <w:tr>
        <w:trPr>
          <w:trHeight w:val="142"/>
        </w:trPr>
        <w:tc>
          <w:tcPr>
            <w:tcW w:w="2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908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less than 20 MW in size (on an alternating current, or AC, basis), that primarily sell power produced to customers</w:t>
            </w:r>
          </w:p>
        </w:tc>
      </w:tr>
      <w:tr>
        <w:trPr>
          <w:trHeight w:val="184"/>
        </w:trPr>
        <w:tc>
          <w:tcPr>
            <w:tcW w:w="2200" w:type="dxa"/>
            <w:vAlign w:val="bottom"/>
          </w:tcPr>
          <w:p>
            <w:pPr>
              <w:spacing w:after="0"/>
              <w:rPr>
                <w:sz w:val="16"/>
                <w:szCs w:val="16"/>
                <w:color w:val="auto"/>
              </w:rPr>
            </w:pP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r>
      <w:tr>
        <w:trPr>
          <w:trHeight w:val="18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DRIP</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Dividend Reinvestment Plan</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Drop Down Assets</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DSPP</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Direct Stock Purchase Plan</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EPA</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United States Environmental Protection Agency</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Electric Reliability Council of Texas, the ISO and the regional reliability coordinator of the various electricity systems within Texas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EWG</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Exempt Wholesale Generator</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FERC</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Federal Energy Regulatory Commission</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Flexible Generation</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Formerly the Conventional Generation segment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FPA</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Federal Power Act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FWS</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U.S. Fish &amp; Wildlife Service</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GenConn</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GenConn Energy LLC</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GHG</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Greenhouse gas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GW</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Gigawatt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HLBV</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Hypothetical Liquidation at Book Value</w:t>
            </w:r>
          </w:p>
        </w:tc>
      </w:tr>
      <w:tr>
        <w:trPr>
          <w:trHeight w:val="142"/>
        </w:trPr>
        <w:tc>
          <w:tcPr>
            <w:tcW w:w="2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Honeycomb Portfolio</w:t>
            </w:r>
          </w:p>
        </w:tc>
        <w:tc>
          <w:tcPr>
            <w:tcW w:w="908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color w:val="auto"/>
              </w:rPr>
              <w:t>Four BESS facilities under construction in Beaver County and Iron County, Utah representing 320 MW of capacity, which includes Enterprise,</w:t>
            </w:r>
          </w:p>
        </w:tc>
      </w:tr>
      <w:tr>
        <w:trPr>
          <w:trHeight w:val="184"/>
        </w:trPr>
        <w:tc>
          <w:tcPr>
            <w:tcW w:w="2200" w:type="dxa"/>
            <w:vAlign w:val="bottom"/>
          </w:tcPr>
          <w:p>
            <w:pPr>
              <w:spacing w:after="0"/>
              <w:rPr>
                <w:sz w:val="16"/>
                <w:szCs w:val="16"/>
                <w:color w:val="auto"/>
              </w:rPr>
            </w:pP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Escalante I, Granite Mountain East and Iron Springs that are co-located with the respective solar facilities</w:t>
            </w:r>
          </w:p>
        </w:tc>
      </w:tr>
      <w:tr>
        <w:trPr>
          <w:trHeight w:val="18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IRS</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Internal Revenue Service</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Independent System Operator, also referred to as an RTO</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ITC</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Investment Tax Credit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Luna Valley Class B</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Luna Valley Class B Member LLC, the indirect owner of Luna Valley</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MBTA</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Migratory Bird Treaty Act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MMBtu</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Million British Thermal Units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Megawatt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MWh</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Holdco</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Natural Gas CA Holdco LLC</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NEPA</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National Environmental Policy Act</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NERC</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North American Electric Reliability Corporation</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Exposure</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Counterparty credit exposure to Clearway Energy LLC, net of collateral</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NOLs</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Net Operating Losses</w:t>
            </w: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w:t>
            </w:r>
            <w:r>
              <w:rPr>
                <w:rFonts w:ascii="Times New Roman" w:cs="Times New Roman" w:eastAsia="Times New Roman" w:hAnsi="Times New Roman"/>
                <w:sz w:val="18"/>
                <w:szCs w:val="18"/>
                <w:color w:val="auto"/>
                <w:vertAlign w:val="subscript"/>
              </w:rPr>
              <w:t>x</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Nitrogen Oxides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NPNS</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Normal Purchases and Normal Sales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NRG</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NRG Energy, Inc.</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OCI/OCL</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Other comprehensive income/loss</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O&amp;M</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Operations and Maintenance</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PG&amp;E</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Pacific Gas and Electric Company</w:t>
            </w:r>
          </w:p>
        </w:tc>
      </w:tr>
      <w:tr>
        <w:trPr>
          <w:trHeight w:val="184"/>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Pine Forest TargetCo</w:t>
            </w:r>
          </w:p>
        </w:tc>
        <w:tc>
          <w:tcPr>
            <w:tcW w:w="9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Pine Forest CE TargetCo LLC, a partnership and the indirect owner of Pine Forest</w:t>
            </w:r>
          </w:p>
        </w:tc>
      </w:tr>
      <w:tr>
        <w:trPr>
          <w:trHeight w:val="679"/>
        </w:trPr>
        <w:tc>
          <w:tcPr>
            <w:tcW w:w="2200" w:type="dxa"/>
            <w:vAlign w:val="bottom"/>
          </w:tcPr>
          <w:p>
            <w:pPr>
              <w:spacing w:after="0"/>
              <w:rPr>
                <w:sz w:val="24"/>
                <w:szCs w:val="24"/>
                <w:color w:val="auto"/>
              </w:rPr>
            </w:pPr>
          </w:p>
        </w:tc>
        <w:tc>
          <w:tcPr>
            <w:tcW w:w="908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2200" w:type="dxa"/>
            <w:vAlign w:val="bottom"/>
            <w:tcBorders>
              <w:bottom w:val="single" w:sz="8" w:color="9A9A9A"/>
            </w:tcBorders>
          </w:tcPr>
          <w:p>
            <w:pPr>
              <w:spacing w:after="0"/>
              <w:rPr>
                <w:sz w:val="7"/>
                <w:szCs w:val="7"/>
                <w:color w:val="auto"/>
              </w:rPr>
            </w:pPr>
          </w:p>
        </w:tc>
        <w:tc>
          <w:tcPr>
            <w:tcW w:w="9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Pine Forest TE Class A</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Pine Forest TE Class A Owner LLC, a consolidated subsidiary of Clearway Energy Finance Inc. and an indirect subsidiary of Clearway, Inc.</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PJM Interconnection, LLC</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PPA</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Power Purchase Agreement</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PTC</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Production Tax Credit</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PUCT</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Public Utility Commission of Texas</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PUHCA</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Public Utility Holding Company Act of 2005</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PURPA</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Public Utility Regulatory Policies Act of 1978</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QF</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Qualifying Facility under PURPA</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Resource adequacy</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Renewables &amp; Storage</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Formerly the Renewables segment</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RENOM</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Clearway Renewable Operation &amp; Maintenance LLC, a wholly-owned subsidiary of CEG</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Rosie Central BESS</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Rosie BESS Devco LLC</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Rosie South TargetCo</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Rosie South TargetCo LLC, a partnership and the indirect owner of Rosamond South I</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RPS</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Renewable Portfolio Standards</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RTO</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Regional Transmission Organization</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Southern California Edison</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SDG&amp;E</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San Diego Gas &amp; Electric</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the 2032 Senior Notes and the 2034 Senior Notes</w:t>
            </w:r>
          </w:p>
        </w:tc>
      </w:tr>
      <w:tr>
        <w:trPr>
          <w:trHeight w:val="180"/>
        </w:trPr>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SO</w:t>
            </w:r>
            <w:r>
              <w:rPr>
                <w:rFonts w:ascii="Times New Roman" w:cs="Times New Roman" w:eastAsia="Times New Roman" w:hAnsi="Times New Roman"/>
                <w:sz w:val="18"/>
                <w:szCs w:val="18"/>
                <w:color w:val="auto"/>
                <w:vertAlign w:val="subscript"/>
              </w:rPr>
              <w:t>2</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Sulfur Dioxide</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SPP</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Solar Power Partners</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SREC</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Solar Renewable Energy Credit</w:t>
            </w:r>
          </w:p>
        </w:tc>
      </w:tr>
      <w:tr>
        <w:trPr>
          <w:trHeight w:val="180"/>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42"/>
        </w:trPr>
        <w:tc>
          <w:tcPr>
            <w:tcW w:w="2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Utah Solar Portfolio</w:t>
            </w:r>
          </w:p>
        </w:tc>
        <w:tc>
          <w:tcPr>
            <w:tcW w:w="9160" w:type="dxa"/>
            <w:vAlign w:val="bottom"/>
          </w:tcPr>
          <w:p>
            <w:pPr>
              <w:ind w:left="780"/>
              <w:spacing w:after="0" w:line="142" w:lineRule="exact"/>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 which includes Enterprise, Escalante I, Escalante II, Escalante</w:t>
            </w:r>
          </w:p>
        </w:tc>
      </w:tr>
      <w:tr>
        <w:trPr>
          <w:trHeight w:val="184"/>
        </w:trPr>
        <w:tc>
          <w:tcPr>
            <w:tcW w:w="2120" w:type="dxa"/>
            <w:vAlign w:val="bottom"/>
          </w:tcPr>
          <w:p>
            <w:pPr>
              <w:spacing w:after="0"/>
              <w:rPr>
                <w:sz w:val="16"/>
                <w:szCs w:val="16"/>
                <w:color w:val="auto"/>
              </w:rPr>
            </w:pP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III, Granite Mountain East, Granite Mountain West and Iron Springs</w:t>
            </w:r>
          </w:p>
        </w:tc>
      </w:tr>
      <w:tr>
        <w:trPr>
          <w:trHeight w:val="145"/>
        </w:trPr>
        <w:tc>
          <w:tcPr>
            <w:tcW w:w="21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Utility Scale Solar</w:t>
            </w:r>
          </w:p>
        </w:tc>
        <w:tc>
          <w:tcPr>
            <w:tcW w:w="9160" w:type="dxa"/>
            <w:vAlign w:val="bottom"/>
          </w:tcPr>
          <w:p>
            <w:pPr>
              <w:ind w:left="780"/>
              <w:spacing w:after="0" w:line="145" w:lineRule="exact"/>
              <w:rPr>
                <w:sz w:val="20"/>
                <w:szCs w:val="20"/>
                <w:color w:val="auto"/>
              </w:rPr>
            </w:pPr>
            <w:r>
              <w:rPr>
                <w:rFonts w:ascii="Times New Roman" w:cs="Times New Roman" w:eastAsia="Times New Roman" w:hAnsi="Times New Roman"/>
                <w:sz w:val="14"/>
                <w:szCs w:val="14"/>
                <w:color w:val="auto"/>
              </w:rPr>
              <w:t>Solar power facilities, typically 20 MW or greater in size (on an alternating current, or AC, basis), that are interconnected into the transmission or</w:t>
            </w:r>
          </w:p>
        </w:tc>
      </w:tr>
      <w:tr>
        <w:trPr>
          <w:trHeight w:val="184"/>
        </w:trPr>
        <w:tc>
          <w:tcPr>
            <w:tcW w:w="2120" w:type="dxa"/>
            <w:vAlign w:val="bottom"/>
          </w:tcPr>
          <w:p>
            <w:pPr>
              <w:spacing w:after="0"/>
              <w:rPr>
                <w:sz w:val="16"/>
                <w:szCs w:val="16"/>
                <w:color w:val="auto"/>
              </w:rPr>
            </w:pP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r>
      <w:tr>
        <w:trPr>
          <w:trHeight w:val="187"/>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870"/>
        </w:trPr>
        <w:tc>
          <w:tcPr>
            <w:tcW w:w="2120" w:type="dxa"/>
            <w:vAlign w:val="bottom"/>
          </w:tcPr>
          <w:p>
            <w:pPr>
              <w:spacing w:after="0"/>
              <w:rPr>
                <w:sz w:val="24"/>
                <w:szCs w:val="24"/>
                <w:color w:val="auto"/>
              </w:rPr>
            </w:pPr>
          </w:p>
        </w:tc>
        <w:tc>
          <w:tcPr>
            <w:tcW w:w="916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5</w:t>
            </w:r>
          </w:p>
        </w:tc>
      </w:tr>
      <w:tr>
        <w:trPr>
          <w:trHeight w:val="87"/>
        </w:trPr>
        <w:tc>
          <w:tcPr>
            <w:tcW w:w="2120" w:type="dxa"/>
            <w:vAlign w:val="bottom"/>
            <w:tcBorders>
              <w:bottom w:val="single" w:sz="8" w:color="9A9A9A"/>
            </w:tcBorders>
          </w:tcPr>
          <w:p>
            <w:pPr>
              <w:spacing w:after="0"/>
              <w:rPr>
                <w:sz w:val="7"/>
                <w:szCs w:val="7"/>
                <w:color w:val="auto"/>
              </w:rPr>
            </w:pPr>
          </w:p>
        </w:tc>
        <w:tc>
          <w:tcPr>
            <w:tcW w:w="9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was formed as a Delaware limited liability company on March 5, 2013. The Company is sponsored by Clearway Energy Group LLC, or CEG.</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In 2025, 98% of the Company’s total generation was attributable to renewable energy and storage assets. Through this environmentally-sound, diversified and primarily contracted portfolio, the Company endeavors to provide its unit holders with stable and growing distributions.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 Company’s Renewables &amp; Storage segment offtake agreements was approximately 12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December 31, 2025 </w:t>
      </w:r>
      <w:r>
        <w:rPr>
          <w:rFonts w:ascii="Times New Roman" w:cs="Times New Roman" w:eastAsia="Times New Roman" w:hAnsi="Times New Roman"/>
          <w:sz w:val="14"/>
          <w:szCs w:val="14"/>
          <w:color w:val="231F20"/>
        </w:rPr>
        <w:t>based on CAFD.</w:t>
      </w:r>
      <w:r>
        <w:rPr>
          <w:rFonts w:ascii="Times New Roman" w:cs="Times New Roman" w:eastAsia="Times New Roman" w:hAnsi="Times New Roman"/>
          <w:sz w:val="14"/>
          <w:szCs w:val="14"/>
          <w:color w:val="auto"/>
        </w:rPr>
        <w:t xml:space="preserve"> A complete listing of the Company’s interests in operating facilities as of December 31, 2025 can be found in Item 2 — </w:t>
      </w:r>
      <w:r>
        <w:rPr>
          <w:rFonts w:ascii="Times New Roman" w:cs="Times New Roman" w:eastAsia="Times New Roman" w:hAnsi="Times New Roman"/>
          <w:sz w:val="14"/>
          <w:szCs w:val="14"/>
          <w:i w:val="1"/>
          <w:iCs w:val="1"/>
          <w:color w:val="auto"/>
        </w:rPr>
        <w:t>Properties.</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 is a holding company for the companies that directly and indirectly own and operate Clearway Energy, Inc.’s, or Clearway, Inc., assets. CEG controls Clearway, Inc., and Clearway, Inc. in turn, as the sole managing member of the Company, controls the Company and its subsidiaries.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 From time to time, CEG may also hold shares of Clearway, Inc.’s Class A and/or Class C common stock.</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2025, CEG owned 42,738,750 of the Company’s Class B units and 41,576,142 of the Company’s Class D units, while Clearway, Inc. owned 34,613,853 of the Company’s Class A units and 84,844,929 of the Company’s Class C units. Clearway, Inc., through its holdings of Class A units and Class C units, owned a 58.62% economic interest in the Company as of December 31, 2025. Additionally, CEG, through its holdings of Class B units and Class D units, owned a 41.38% economic interest in the Company as of December 31, 2025.</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4"/>
          <w:szCs w:val="14"/>
          <w:color w:val="auto"/>
        </w:rPr>
        <w:t>The diagram below represents a summarized structure of the Company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267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0819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primary business strategy is to focus on the ownership of assets and growth through investments in or acquisitions of assets that generate predictable, long-term cash flows so that it can continue to grow and expand the business as well as to increase the distributions to Clearway, Inc. over time.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plan for executing its business strategy includes the following key components:</w:t>
      </w:r>
    </w:p>
    <w:p>
      <w:pPr>
        <w:spacing w:after="0" w:line="13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Focus on contracted renewable energy and dispatchable combustion-based generation. </w:t>
      </w:r>
      <w:r>
        <w:rPr>
          <w:rFonts w:ascii="Times New Roman" w:cs="Times New Roman" w:eastAsia="Times New Roman" w:hAnsi="Times New Roman"/>
          <w:sz w:val="14"/>
          <w:szCs w:val="14"/>
          <w:color w:val="auto"/>
        </w:rPr>
        <w:t>The Company owns and operates utility scale and distributed renewable energy assets, as well as BESS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facilities, and dispatchable combustion-based power generation assets included in the Flexible Generation segment that provide critical grid reliability services. The assets are operated with proven technologies and have generally low operating risks and stable cash flows. The Company believes that by focusing on this core asset class and leveraging its industry knowledge, it will maximize its strategic opportunities, be a leader in operational efficiency and maximize its overall financial performance.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Growing the business through investments in operating power generation assets. </w:t>
      </w:r>
      <w:r>
        <w:rPr>
          <w:rFonts w:ascii="Times New Roman" w:cs="Times New Roman" w:eastAsia="Times New Roman" w:hAnsi="Times New Roman"/>
          <w:sz w:val="14"/>
          <w:szCs w:val="14"/>
          <w:color w:val="auto"/>
        </w:rPr>
        <w:t>The Company believes that its base of operations provides a platform for strategic growth through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accretive and tax advantaged investments and acquisitions complementary to its existing portfolio and investment in organic cash flow expansion of its own fleet. In addition, the Company may invest in or acquire generation facilities from third parties when it believes its knowledge of the market and operating expertise provides it with a competitive advantage, as well as consummate future investments in, or acquisitions of, assets developed by CEG. The Company believes that CEG’s development expertise provides the Company access to a development platform with an extensive pipeline of potential renewable energy and BESS facilities that are aligned with the Company’s growth objectives. The Company and CEG work collaboratively in considering new assets to be invested in or acquired by the Company. The assets listed below represent the Company’s currently committed investments in facilities: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Technology</w:t>
            </w:r>
          </w:p>
        </w:tc>
        <w:tc>
          <w:tcPr>
            <w:tcW w:w="228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Gross Capacity (MW)</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State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Estimated Funding</w:t>
            </w:r>
          </w:p>
        </w:tc>
      </w:tr>
      <w:tr>
        <w:trPr>
          <w:trHeight w:val="173"/>
        </w:trPr>
        <w:tc>
          <w:tcPr>
            <w:tcW w:w="3760" w:type="dxa"/>
            <w:vAlign w:val="bottom"/>
            <w:tcBorders>
              <w:top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4"/>
                <w:szCs w:val="14"/>
                <w:color w:val="auto"/>
              </w:rPr>
              <w:t xml:space="preserve">Deriva Solar Portfolio </w:t>
            </w:r>
            <w:r>
              <w:rPr>
                <w:rFonts w:ascii="Times New Roman" w:cs="Times New Roman" w:eastAsia="Times New Roman" w:hAnsi="Times New Roman"/>
                <w:sz w:val="18"/>
                <w:szCs w:val="18"/>
                <w:color w:val="auto"/>
                <w:vertAlign w:val="superscript"/>
              </w:rPr>
              <w:t>(a) (b)</w:t>
            </w:r>
          </w:p>
        </w:tc>
        <w:tc>
          <w:tcPr>
            <w:tcW w:w="8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Distributed Generation</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1H26</w:t>
            </w:r>
          </w:p>
        </w:tc>
      </w:tr>
      <w:tr>
        <w:trPr>
          <w:trHeight w:val="18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Goat Mountain Repower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Wind</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TX</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2H27</w:t>
            </w:r>
          </w:p>
        </w:tc>
      </w:tr>
      <w:tr>
        <w:trPr>
          <w:trHeight w:val="18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Mt. Storm Repower</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Wind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WV</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2H26</w:t>
            </w:r>
          </w:p>
        </w:tc>
      </w:tr>
      <w:tr>
        <w:trPr>
          <w:trHeight w:val="18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Rosamond South II</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BESS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CA</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2H26</w:t>
            </w:r>
          </w:p>
        </w:tc>
      </w:tr>
      <w:tr>
        <w:trPr>
          <w:trHeight w:val="180"/>
        </w:trPr>
        <w:tc>
          <w:tcPr>
            <w:tcW w:w="38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San Juan Mesa Repower </w:t>
            </w:r>
            <w:r>
              <w:rPr>
                <w:rFonts w:ascii="Times New Roman" w:cs="Times New Roman" w:eastAsia="Times New Roman" w:hAnsi="Times New Roman"/>
                <w:sz w:val="18"/>
                <w:szCs w:val="18"/>
                <w:color w:val="auto"/>
                <w:vertAlign w:val="superscript"/>
              </w:rPr>
              <w:t>(b)</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Wind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NM</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2H27</w:t>
            </w:r>
          </w:p>
        </w:tc>
      </w:tr>
      <w:tr>
        <w:trPr>
          <w:trHeight w:val="18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Spindle</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BESS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2H26</w:t>
            </w:r>
          </w:p>
        </w:tc>
      </w:tr>
      <w:tr>
        <w:trPr>
          <w:trHeight w:val="18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Tuolumne Repower</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Wind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WA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2H26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Third-party acquisition of operating facilities.</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Included in a co-investment partnership.</w:t>
      </w:r>
    </w:p>
    <w:p>
      <w:pPr>
        <w:spacing w:after="0" w:line="10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Primary focus on North America. </w:t>
      </w:r>
      <w:r>
        <w:rPr>
          <w:rFonts w:ascii="Times New Roman" w:cs="Times New Roman" w:eastAsia="Times New Roman" w:hAnsi="Times New Roman"/>
          <w:sz w:val="14"/>
          <w:szCs w:val="14"/>
          <w:color w:val="auto"/>
        </w:rPr>
        <w:t>The Company intends to focus its investments in North America. The Company believes that industry fundamentals in North America offer significant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opportunity to grow its portfolio without creating significant exposure to currency or sovereign risk. By focusing its efforts on North America, the Company believes it will best leverage its regional knowledge of power markets, industry relationships and skill sets to maximize its performance.</w:t>
      </w:r>
    </w:p>
    <w:p>
      <w:pPr>
        <w:spacing w:after="0" w:line="9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Maintain sound financial practices to grow the distributions. </w:t>
      </w:r>
      <w:r>
        <w:rPr>
          <w:rFonts w:ascii="Times New Roman" w:cs="Times New Roman" w:eastAsia="Times New Roman" w:hAnsi="Times New Roman"/>
          <w:sz w:val="14"/>
          <w:szCs w:val="14"/>
          <w:color w:val="auto"/>
        </w:rPr>
        <w:t>The Company intends to maintain a commitment to disciplined financial analysis and a balanced capital structure to enable it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its distributions over time and serve the long-term interests of its unit 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distributions and maximize value.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Power generation is a capital-intensive business with numerous and diverse industry participants. The Company competes based on the location of its plants, as well as the contract price and terms of individual facilities. Within the power industry, the Company competes with a wide variety of companies with different capabilities, resources and business models, depending on the market. The Company’s competitors for energy supply include utilities and independent power producers. The Company also competes to acquire new facilities with renewable developers who retain ownership of their renewable power plants, independent power producers, financial investors and other downstream power infrastructure owners. Competitive conditions may be substantially affected by capital market conditions and by various forms of energy-related legislation and regulation considered by federal, state and local legislatures and administrative agencies, including tax policy. Such laws and regulations, or changes thereto, may substantially increase the costs of acquiring, constructing and operating facilities, and it could be difficult for the Company to adapt to and operate under such laws and regulations.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Stable, high quality cash flows. </w:t>
      </w:r>
      <w:r>
        <w:rPr>
          <w:rFonts w:ascii="Times New Roman" w:cs="Times New Roman" w:eastAsia="Times New Roman" w:hAnsi="Times New Roman"/>
          <w:sz w:val="14"/>
          <w:szCs w:val="14"/>
          <w:color w:val="auto"/>
        </w:rPr>
        <w:t>The Company’s facilities have a stable, predictable cash flow profile consisting of long-life electric generation assets that primarily sell electricity under long-term fixed priced contracts or pursuant to regulated rates with investment-grade and certain other creditworthy counterparties. The majority of the Company’s facilities have minimal fuel risk, as the Renewables &amp; Storage facilities have no fuel costs, however, the Company’s merchant assets included in the Flexible Generation segment need to procure their own fuel. The offtake agreements within the Company’s Renewables &amp; Storage segment have a weighted-average remaining duration, based on CAFD, of approximately 12 years as of December 31, 2025, which contributes to long-term cash flow stability. The Company’s offtake agreements with counterparties for whom credit ratings are available have a weighted-average Moody’s rating of Baa1 based on rated capacity under contract. Additionally, because all of the Company’s assets are located in the U.S., they are not exposed to currency or repatriation risks.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 w:name="page9"/>
    <w:bookmarkEnd w:id="8"/>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Environmentally well-positioned portfolio of assets. </w:t>
      </w:r>
      <w:r>
        <w:rPr>
          <w:rFonts w:ascii="Times New Roman" w:cs="Times New Roman" w:eastAsia="Times New Roman" w:hAnsi="Times New Roman"/>
          <w:sz w:val="14"/>
          <w:szCs w:val="14"/>
          <w:color w:val="auto"/>
        </w:rPr>
        <w:t>The Company’s portfolio includes approximately 10.1 gross GW of installed wind, solar and BESS assets that are predominantly non-emitting sources of power generation. Additionally, the Company’s assets within the Flexible Generation segment that are located in California consist of efficient gas generation facilities that support electric system reliability. The Company does not expect to incur any significant capital expenditures in the foreseeable future to comply with current environmental regulations applicable to its generation assets. Taken as a whole, the Company believes it will be a net beneficiary of growing energy demand and market support for the types of assets that the Company operates and acquires.</w:t>
      </w:r>
    </w:p>
    <w:p>
      <w:pPr>
        <w:spacing w:after="0" w:line="9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High quality, long-lived assets with low operating and capital requirements. </w:t>
      </w:r>
      <w:r>
        <w:rPr>
          <w:rFonts w:ascii="Times New Roman" w:cs="Times New Roman" w:eastAsia="Times New Roman" w:hAnsi="Times New Roman"/>
          <w:sz w:val="14"/>
          <w:szCs w:val="14"/>
          <w:color w:val="auto"/>
        </w:rPr>
        <w:t>The Company benefits from a portfolio of relatively newer assets. The Company’s assets are largely comprised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proven and reliable technologies, provided by leading original wind, solar and BESS equipment manufacturers. Given the nature of the portfolio, which includes a substantial number of wind, solar and BESS facilities, with relatively low operating and maintenance costs, the Company expects to maintain high fleet availability and expend modest maintenance-related capital expenditures.</w:t>
      </w:r>
    </w:p>
    <w:p>
      <w:pPr>
        <w:spacing w:after="0" w:line="9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scale and diversity. </w:t>
      </w:r>
      <w:r>
        <w:rPr>
          <w:rFonts w:ascii="Times New Roman" w:cs="Times New Roman" w:eastAsia="Times New Roman" w:hAnsi="Times New Roman"/>
          <w:sz w:val="14"/>
          <w:szCs w:val="14"/>
          <w:color w:val="auto"/>
        </w:rPr>
        <w:t>The Company’s portfolio comprises approximately 12.9 GW of gross capacity in 27 states, including approximately 10.1 GW of wind, solar and BESS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2.8 GW of dispatchable combustion-based power generation providing critical grid reliability services. The Company’s contracted assets included in the Renewables &amp; Storage and Flexible Generation segments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9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Relationship with CEG as sponsor. </w:t>
      </w:r>
      <w:r>
        <w:rPr>
          <w:rFonts w:ascii="Times New Roman" w:cs="Times New Roman" w:eastAsia="Times New Roman" w:hAnsi="Times New Roman"/>
          <w:sz w:val="14"/>
          <w:szCs w:val="14"/>
          <w:color w:val="auto"/>
        </w:rPr>
        <w:t>The Company believes that its relationship with CEG provides significant benefits given CEG’s highly capable renewable development and operations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platform that is aligned to support the Company’s growth. CEG has strong capabilities in capital formation, power origination, procurement, construction, business development, asset management, operations and maintenance and related commercial functions, all of which help to safeguard and optimize the value of the Company’s business and operating fleet.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Review</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tables summarize the Company’s operating revenues, net income (loss) and assets by segment, as discussed in Item 15 — Note 12,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440" w:type="dxa"/>
            <w:vAlign w:val="bottom"/>
            <w:tcBorders>
              <w:bottom w:val="single" w:sz="8" w:color="auto"/>
            </w:tcBorders>
          </w:tcPr>
          <w:p>
            <w:pPr>
              <w:spacing w:after="0"/>
              <w:rPr>
                <w:sz w:val="13"/>
                <w:szCs w:val="13"/>
                <w:color w:val="auto"/>
              </w:rPr>
            </w:pPr>
          </w:p>
        </w:tc>
      </w:tr>
      <w:tr>
        <w:trPr>
          <w:trHeight w:val="149"/>
        </w:trPr>
        <w:tc>
          <w:tcPr>
            <w:tcW w:w="5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4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72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144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44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top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40" w:type="dxa"/>
            <w:vAlign w:val="bottom"/>
            <w:tcBorders>
              <w:top w:val="single" w:sz="8" w:color="auto"/>
            </w:tcBorders>
            <w:shd w:val="clear" w:color="auto" w:fill="CCEEFF"/>
          </w:tcPr>
          <w:p>
            <w:pPr>
              <w:spacing w:after="0"/>
              <w:rPr>
                <w:sz w:val="14"/>
                <w:szCs w:val="14"/>
                <w:color w:val="auto"/>
              </w:rPr>
            </w:pPr>
          </w:p>
        </w:tc>
      </w:tr>
      <w:tr>
        <w:trPr>
          <w:trHeight w:val="168"/>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(171)</w:t>
            </w:r>
          </w:p>
        </w:tc>
      </w:tr>
      <w:tr>
        <w:trPr>
          <w:trHeight w:val="172"/>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16,444</w:t>
            </w:r>
          </w:p>
        </w:tc>
        <w:tc>
          <w:tcPr>
            <w:tcW w:w="40" w:type="dxa"/>
            <w:vAlign w:val="bottom"/>
            <w:shd w:val="clear" w:color="auto" w:fill="CCEEFF"/>
          </w:tcPr>
          <w:p>
            <w:pPr>
              <w:spacing w:after="0"/>
              <w:rPr>
                <w:sz w:val="14"/>
                <w:szCs w:val="14"/>
                <w:color w:val="auto"/>
              </w:rPr>
            </w:pPr>
          </w:p>
        </w:tc>
      </w:tr>
      <w:tr>
        <w:trPr>
          <w:trHeight w:val="373"/>
        </w:trPr>
        <w:tc>
          <w:tcPr>
            <w:tcW w:w="5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ind w:left="62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4"/>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20" w:type="dxa"/>
            <w:vAlign w:val="bottom"/>
          </w:tcPr>
          <w:p>
            <w:pPr>
              <w:spacing w:after="0"/>
              <w:rPr>
                <w:sz w:val="13"/>
                <w:szCs w:val="13"/>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260" w:type="dxa"/>
            <w:vAlign w:val="bottom"/>
          </w:tcPr>
          <w:p>
            <w:pPr>
              <w:spacing w:after="0"/>
              <w:rPr>
                <w:sz w:val="13"/>
                <w:szCs w:val="13"/>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20" w:type="dxa"/>
            <w:vAlign w:val="bottom"/>
          </w:tcPr>
          <w:p>
            <w:pPr>
              <w:spacing w:after="0"/>
              <w:rPr>
                <w:sz w:val="13"/>
                <w:szCs w:val="13"/>
                <w:color w:val="auto"/>
              </w:rPr>
            </w:pPr>
          </w:p>
        </w:tc>
        <w:tc>
          <w:tcPr>
            <w:tcW w:w="1100" w:type="dxa"/>
            <w:vAlign w:val="bottom"/>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3"/>
                <w:szCs w:val="13"/>
                <w:color w:val="auto"/>
              </w:rPr>
            </w:pPr>
          </w:p>
        </w:tc>
      </w:tr>
      <w:tr>
        <w:trPr>
          <w:trHeight w:val="16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40" w:type="dxa"/>
            <w:vAlign w:val="bottom"/>
          </w:tcPr>
          <w:p>
            <w:pPr>
              <w:spacing w:after="0"/>
              <w:rPr>
                <w:sz w:val="14"/>
                <w:szCs w:val="14"/>
                <w:color w:val="auto"/>
              </w:rPr>
            </w:pPr>
          </w:p>
        </w:tc>
      </w:tr>
      <w:tr>
        <w:trPr>
          <w:trHeight w:val="168"/>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tcPr>
          <w:p>
            <w:pPr>
              <w:spacing w:after="0"/>
              <w:rPr>
                <w:sz w:val="14"/>
                <w:szCs w:val="14"/>
                <w:color w:val="auto"/>
              </w:rPr>
            </w:pPr>
          </w:p>
        </w:tc>
      </w:tr>
      <w:tr>
        <w:trPr>
          <w:trHeight w:val="172"/>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14,320</w:t>
            </w:r>
          </w:p>
        </w:tc>
        <w:tc>
          <w:tcPr>
            <w:tcW w:w="40" w:type="dxa"/>
            <w:vAlign w:val="bottom"/>
          </w:tcPr>
          <w:p>
            <w:pPr>
              <w:spacing w:after="0"/>
              <w:rPr>
                <w:sz w:val="14"/>
                <w:szCs w:val="14"/>
                <w:color w:val="auto"/>
              </w:rPr>
            </w:pPr>
          </w:p>
        </w:tc>
      </w:tr>
      <w:tr>
        <w:trPr>
          <w:trHeight w:val="235"/>
        </w:trPr>
        <w:tc>
          <w:tcPr>
            <w:tcW w:w="5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9"/>
          </w:tcPr>
          <w:p>
            <w:pPr>
              <w:ind w:left="6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54"/>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20" w:type="dxa"/>
            <w:vAlign w:val="bottom"/>
          </w:tcPr>
          <w:p>
            <w:pPr>
              <w:spacing w:after="0"/>
              <w:rPr>
                <w:sz w:val="13"/>
                <w:szCs w:val="13"/>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260" w:type="dxa"/>
            <w:vAlign w:val="bottom"/>
          </w:tcPr>
          <w:p>
            <w:pPr>
              <w:spacing w:after="0"/>
              <w:rPr>
                <w:sz w:val="13"/>
                <w:szCs w:val="13"/>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20" w:type="dxa"/>
            <w:vAlign w:val="bottom"/>
          </w:tcPr>
          <w:p>
            <w:pPr>
              <w:spacing w:after="0"/>
              <w:rPr>
                <w:sz w:val="13"/>
                <w:szCs w:val="13"/>
                <w:color w:val="auto"/>
              </w:rPr>
            </w:pPr>
          </w:p>
        </w:tc>
        <w:tc>
          <w:tcPr>
            <w:tcW w:w="1100" w:type="dxa"/>
            <w:vAlign w:val="bottom"/>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3"/>
                <w:szCs w:val="13"/>
                <w:color w:val="auto"/>
              </w:rPr>
            </w:pPr>
          </w:p>
        </w:tc>
      </w:tr>
      <w:tr>
        <w:trPr>
          <w:trHeight w:val="16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40" w:type="dxa"/>
            <w:vAlign w:val="bottom"/>
          </w:tcPr>
          <w:p>
            <w:pPr>
              <w:spacing w:after="0"/>
              <w:rPr>
                <w:sz w:val="14"/>
                <w:szCs w:val="14"/>
                <w:color w:val="auto"/>
              </w:rPr>
            </w:pPr>
          </w:p>
        </w:tc>
      </w:tr>
      <w:tr>
        <w:trPr>
          <w:trHeight w:val="16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Policy Incentives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U.S. federal, state and local governments have established various policy incentives to support the development, financing, ownership and operation of renewable energy facilities. These incentives include PTCs, ITCs, accelerated tax depreciation, cash grants, tax abatements and RPS programs which have the effect of decreasing the costs and risks associated with developing and operating such facilities or creating demand for renewable energy assets. In particular,</w:t>
      </w:r>
    </w:p>
    <w:p>
      <w:pPr>
        <w:spacing w:after="0" w:line="51" w:lineRule="exact"/>
        <w:rPr>
          <w:sz w:val="20"/>
          <w:szCs w:val="20"/>
          <w:color w:val="auto"/>
        </w:rPr>
      </w:pPr>
    </w:p>
    <w:p>
      <w:pPr>
        <w:jc w:val="both"/>
        <w:ind w:left="520" w:hanging="260"/>
        <w:spacing w:after="0" w:line="256"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Owners of wind facilities are eligible to claim the PTC, or an ITC in lieu of the PTC, provided that certain requirements are met. Similarly, owners of solar facilities are eligible to claim the ITC or, for facilities placed in service after August 16, 2022, either the ITC or, in lieu thereof, a PTC, provided certain requirements are met. Additionally, owners of BESS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In order to qualify for the full amount of these credits in the case of facilities whose construction began on or after January 28, 2023, certain prevailing wage and apprenticeship requirements generally must be satisfied.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GHG emissions cannot be greater than zero. Moreover, pursuant to legislation enacted July 4, 2025, wind and solar facilities that begin construction after July 4, 2026 must be placed in service by December 31, 2027 in order to qualify for these credits and the percentage of components in the facility manufactured by foreign entities of concern cannot exceed a specified percentage.</w:t>
      </w:r>
    </w:p>
    <w:p>
      <w:pPr>
        <w:spacing w:after="0" w:line="22" w:lineRule="exact"/>
        <w:rPr>
          <w:rFonts w:ascii="Times New Roman" w:cs="Times New Roman" w:eastAsia="Times New Roman" w:hAnsi="Times New Roman"/>
          <w:sz w:val="14"/>
          <w:szCs w:val="14"/>
          <w:color w:val="231F20"/>
        </w:rPr>
      </w:pPr>
    </w:p>
    <w:p>
      <w:pPr>
        <w:jc w:val="both"/>
        <w:ind w:left="520" w:hanging="260"/>
        <w:spacing w:after="0" w:line="264"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Pursuant to the U.S. federal Modified Accelerated Cost Recovery System, or MACRS, wind, solar and BESS facilities have generally been depreciable for tax purposes over a five-year period (before applying certain conventions), even though the useful life of such facilities is generally much longer than five years. However, pursuant to federal tax legislation enacted on July 4, 2025, in certain cases, facilities as to which construction begins after 2024 will no longer be depreciable over a five-year period; instead, their cost will be recovered over a seven-year period. Under the same legislation, immediate 100% expensing is also permanently available for such property.</w:t>
      </w:r>
    </w:p>
    <w:p>
      <w:pPr>
        <w:spacing w:after="0" w:line="13" w:lineRule="exact"/>
        <w:rPr>
          <w:rFonts w:ascii="Times New Roman" w:cs="Times New Roman" w:eastAsia="Times New Roman" w:hAnsi="Times New Roman"/>
          <w:sz w:val="14"/>
          <w:szCs w:val="14"/>
          <w:color w:val="231F20"/>
        </w:rPr>
      </w:pPr>
    </w:p>
    <w:p>
      <w:pPr>
        <w:jc w:val="both"/>
        <w:ind w:left="520" w:hanging="260"/>
        <w:spacing w:after="0" w:line="270"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elimination of, loss of, reduction in, or the addition of stricter eligibility requirements for the business tax credits and incentives discussed above could decrease the attractiveness of renewable energy facilities to developers, including, but not limited to, CEG, which could reduce the Company’s acquisition or development opportunities. Such an elimination, loss or reduction could also reduce the Company’s willingness to pursue or develop certain renewable energy facilities due to higher operating costs or decreased revenues under its PPAs. However, these changes (i) are not anticipated to have an adverse impact on the anticipated pipeline of facilities that are being developed by the Company’s sponsor, CEG, through at least 2030 and (ii) did not impact the operation of facilities owned by the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 Similarly, the Company’s operations within Hawaii are not subject to rate regulation by FERC, as they are deemed to operate solely within the State of Hawaii and not in interstate commerce.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FERC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FERC, among other things, regulates the transmission and the wholesale sale of electricity in interstate commerce under the authority of the FPA. The transmission and sale of electric energy occurring wholly within ERCOT and Hawaii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and Hawaii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PUHCA provides FERC with certain authority over and access to books and records of public utility holding companies and companies within the public utility holding company systems.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not required to comply with the accounting, record retention and reporting requirements promulgated by FERC pursuant to the PUHCA.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has recently shifted at the federal level. To the extent that proposed legislation and new or revised regulations restrict or otherwise impact the Company’s operations, the proposed legislation and regulations could have a negative impact on the Company’s financial performance.</w:t>
      </w:r>
    </w:p>
    <w:p>
      <w:pPr>
        <w:spacing w:after="0" w:line="10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EPA GHG Rulemaking and Proposals </w:t>
      </w:r>
      <w:r>
        <w:rPr>
          <w:rFonts w:ascii="Times New Roman" w:cs="Times New Roman" w:eastAsia="Times New Roman" w:hAnsi="Times New Roman"/>
          <w:sz w:val="14"/>
          <w:szCs w:val="14"/>
          <w:color w:val="auto"/>
        </w:rPr>
        <w:t>— In March 2025, a Joint Resolution of Disapproval under the Congressional Review Act was signed which prohibited the EPA’s November 2024 Waste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Emissions Charge rules from taking effect. Federal tax legislation enacted on July 4, 2025 postponed the EPA’s imposition of the Waste Emissions Charge to 2034. On July 29, 2025, the EPA issued an interim final rule extending several compliance deadlines associated with the strict new methane rules for the oil and gas industry that were published in March 2024 and took effect in May 2024. In December 2025, the EPA issued a final rule extending these compliance deadlines associated with its 2024 methane rules. On September 16, 2025, the EPA announced a proposal to end the Greenhouse Gas Reporting Program for all sectors except petroleum and natural gas systems (excluding reporting for natural gas distribution). Reporting for petroleum and natural gas systems under the Greenhouse Gas Reporting Program would be deferred until 2034 under the proposal. On February 12, 2026, the EPA announced the repeal of its 2009 “Endangerment Finding” under the Clean Air Act, which found that GHGs endanger the public health and welfare of current and future generations and emissions of GHGs from motor vehicles contribute to GHG pollution. The Endangerment Finding formed the EPA’s legal authority to regulate GHG emissions from motor vehicles, but the repeal calls into question the EPA’s authority to regulate GHGs not just from motor vehicles, but from all regulated sources, as well as the EPA’s prior scientific assessment of climate change risks. Litigation regarding the repeal is anticipated and it is unclear how the repeal will impact the EPA’s regulation of GHG emissions generally going forward. The move away from the federal regulation of GHGs and the repeal of the Endangerment Finding mark a significant shift in federal climate policy.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Changes to NEPA </w:t>
      </w:r>
      <w:r>
        <w:rPr>
          <w:rFonts w:ascii="Times New Roman" w:cs="Times New Roman" w:eastAsia="Times New Roman" w:hAnsi="Times New Roman"/>
          <w:sz w:val="14"/>
          <w:szCs w:val="14"/>
          <w:color w:val="auto"/>
        </w:rPr>
        <w:t>— In February 2025, the White House Council on Environmental Quality, or CEQ, sent NEPA Implementation Guidance to the heads of federal department and agencies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expedite and simplify the permitting process pursuant to Executive Order 14154, “Unleashing American Energy.” In the same month, CEQ issued an interim final rule removing its regulations implementing NEPA from the Code of Federal Regulations, which rule was finalized in January 2026. On May 29, 2025, the U.S. Supreme Court issued a decision in </w:t>
      </w:r>
      <w:r>
        <w:rPr>
          <w:rFonts w:ascii="Times New Roman" w:cs="Times New Roman" w:eastAsia="Times New Roman" w:hAnsi="Times New Roman"/>
          <w:sz w:val="14"/>
          <w:szCs w:val="14"/>
          <w:i w:val="1"/>
          <w:iCs w:val="1"/>
          <w:color w:val="auto"/>
        </w:rPr>
        <w:t>Seven County Infrastructure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Coalition v. Eagle County, Colorado </w:t>
      </w:r>
      <w:r>
        <w:rPr>
          <w:rFonts w:ascii="Times New Roman" w:cs="Times New Roman" w:eastAsia="Times New Roman" w:hAnsi="Times New Roman"/>
          <w:sz w:val="14"/>
          <w:szCs w:val="14"/>
          <w:color w:val="auto"/>
        </w:rPr>
        <w:t>limiting the scope of upstream and downstream effects agencies must consider in NEPA reviews and clarifying that courts must afford agencies “substantial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judicial deference” in NEPA cases. In July 2025, federal tax legislation added Section 112 to NEPA, which provides for expedited environmental reviews for a fee under NEPA, and the U.S. Army Corps of Engineers, FERC and the Departments of Energy, Interior, Transportation, Agriculture and Defense released updates to their regulations and procedures implementing NEPA to speed up permitting and streamline environmental reviews.</w:t>
      </w:r>
    </w:p>
    <w:p>
      <w:pPr>
        <w:spacing w:after="0" w:line="10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Federal Endangered Species Act Legislation and Regulations </w:t>
      </w:r>
      <w:r>
        <w:rPr>
          <w:rFonts w:ascii="Times New Roman" w:cs="Times New Roman" w:eastAsia="Times New Roman" w:hAnsi="Times New Roman"/>
          <w:sz w:val="14"/>
          <w:szCs w:val="14"/>
          <w:color w:val="auto"/>
        </w:rPr>
        <w:t>— In November 2025, the U.S. Fish and Wildlife Service proposed four rules, two of which were jointly issued with the National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Marine Fisheries Service, which amend the federal Endangered Species Act, or ESA, regulations. The proposed rules revise the prior administration’s 2024 regulations under the ESA and revert to the 2019 and 2020 regulations regarding listing, delisting and critical habitat determinations, pursuant to Executive Order 14154, “Unleashing American Energy,” and the U.S. Department of Interior Secretary’s Order 3418 (implementing EO 14154).</w:t>
      </w:r>
    </w:p>
    <w:p>
      <w:pPr>
        <w:spacing w:after="0" w:line="95"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Federal Eagle Incidental Take Permit Rule </w:t>
      </w:r>
      <w:r>
        <w:rPr>
          <w:rFonts w:ascii="Times New Roman" w:cs="Times New Roman" w:eastAsia="Times New Roman" w:hAnsi="Times New Roman"/>
          <w:sz w:val="14"/>
          <w:szCs w:val="14"/>
          <w:color w:val="auto"/>
        </w:rPr>
        <w:t>— On September 30, 2022, FWS published in the Federal Register a draft rule revising the eagle incidental take permit program. Comments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revised rule continued to be accepted during 2023. The final eagle incidental take permit rule was published in the Federal Register on February 12, 2024, and became effective on April 13, 2024. The final rule provided expedited eagle take permitting and a lower cost pathway to permit issuance for many wind facilities but not all. Facility-specific permits will still be required for some facilities. In August 2025, DOI began auditing the eagle take permit program and eagle take permits for wind projects issued prior to January 2025 as part of the DOI’s implementation of Executive Order 14315 “Ending Market Distorting Subsidies for Unreliable, Foreign-Controlled Energy Sources” and DOI’s memorandum “Ensuring Compliance with the Bald and Gold Eagle Protection Act and Executive Order 14315.”</w:t>
      </w:r>
    </w:p>
    <w:p>
      <w:pPr>
        <w:spacing w:after="0" w:line="99"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Federal MBTA Incidental Take Legislation and Regulations </w:t>
      </w:r>
      <w:r>
        <w:rPr>
          <w:rFonts w:ascii="Times New Roman" w:cs="Times New Roman" w:eastAsia="Times New Roman" w:hAnsi="Times New Roman"/>
          <w:sz w:val="14"/>
          <w:szCs w:val="14"/>
          <w:color w:val="auto"/>
        </w:rPr>
        <w:t>— On April 11, 2025, citing executive order “Unleashing American Energy,” the U.S. Department of the Interior, or DOI, issued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legal opinion repealing opinion M-37065, which was issued during the prior administration and specified that the MBTA prohibits both intentional and incidental take of migratory birds, and restoring opinion M-37050, which was issued during the first Trump administration and specifies that only intentional take of migratory birds is prohibited. On July 29, 2025, DOI announced a policy measure to review whether avian mortality rates associated with the development of wind energy facilities located in migratory flight paths qualify as “incidental” takings of birds under the MBTA and related laws, and to determine the appropriate approach to permitting these activities, identifying violations of the applicable statutes and related penalties.</w:t>
      </w:r>
    </w:p>
    <w:p>
      <w:pPr>
        <w:spacing w:after="0" w:line="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California Climate Disclosure Laws </w:t>
      </w:r>
      <w:r>
        <w:rPr>
          <w:rFonts w:ascii="Times New Roman" w:cs="Times New Roman" w:eastAsia="Times New Roman" w:hAnsi="Times New Roman"/>
          <w:sz w:val="14"/>
          <w:szCs w:val="14"/>
          <w:color w:val="auto"/>
        </w:rPr>
        <w:t>— In September 2023, the California State Assembly passed landmark climate disclosure laws (SB 253 and SB 261, as amended by SB 219). These laws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 large companies "doing business in California" to provide annual reporting of Scope 1, 2 and 3 GHG emissions to the state (SB 253) and the biennial disclosure of climate-related financial risks and mitigation (SB 261). The initial reporting of Scope 1 and 2 emissions under SB 253 is due August 10, 2026, and the reporting of Scope 3 emissions is set to begin in 2027. The biennial disclosure under SB 261 was originally due on January 1, 2026, however, on November 18, 2025, enforcement of SB 261 was stayed due to a preliminary injunction from the Ninth Circuit Court of Appeals. Litigation regarding both laws remains ongoing. The Company has prepared to comply with these new state requirements.</w:t>
      </w:r>
    </w:p>
    <w:p>
      <w:pPr>
        <w:spacing w:after="0" w:line="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Local California Air District Rules </w:t>
      </w:r>
      <w:r>
        <w:rPr>
          <w:rFonts w:ascii="Times New Roman" w:cs="Times New Roman" w:eastAsia="Times New Roman" w:hAnsi="Times New Roman"/>
          <w:sz w:val="14"/>
          <w:szCs w:val="14"/>
          <w:color w:val="auto"/>
        </w:rPr>
        <w:t>— Air districts, including the San Diego Air Pollution Control District, have recently proposed and/or updated new source review permitting requirements,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to incorporate public notice requirements as well as updates to programs addressing toxic air contaminants.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cap and trade program in the next few years. The Company’s facilities in the Flexible Generation segment meet the district’s existing and proposed amendments to command-and-control regulations. Proposed updates to local California Air District Rules are not expected to affect the operations nor compliance of the Company’s facilities.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sells its electricity and environmental attributes, including RECs, primarily to customers located across 27 states under contractual arrangements. The Company’s customer base includes 38 local utilities and 26 commercial and industrial customers delivered through its utility-scale generation fleet, as well as thousands of additional customers for products delivered from its distributed solar fleet. During the year ended December 31, 2025, the Company’s largest customers as a percentage of consolidated revenue were SCE and PG&amp;E, which represented approximately 22% and 16%, respectively, with the next five largest customers representing a total of approximately 26% of consolidated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Effective January 1, 2025, the Company effected a reorganization pursuant to which all of the employees of the Company transferred to CEG. As a result, the Company does not have employees of its own and instead depends solely on the services provided by or under the direction of CEG under the CEG Master Services Agreement to carry out its operations. The Company directly bears all labor costs for certain employees of CEG who perform work on behalf of the Company. The Company also depends upon personnel of CEG for the provision of asset management, administration and O&amp;M services.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to the personnel of CEG, the Company relies on other third-party service providers in the daily operations of its facilities in the Flexible Generation segment, as well as certain renewable facilities.</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together with CEG, focuses on attracting, developing and retaining a team of highly talented and motivated employees. CEG seeks to attract and retain employees with industry experience and relevant skills to support operations, which in certain areas requires specific professional or technical skills and experience. CEG’s programs to attract and recruit qualified candidates focus on identifying qualified candidates from a variety of backgrounds with the requisite skills and experience to bring value to the Company. CEG regularly conducts assessments of its compensation and benefit practices and pay levels to help ensure that staff members are compensated equitably and competitively. CEG devotes extensive resources to staff development and training, including tuition assistance for career-enhancing academic and professional programs. CEG utilizes various programs for developing and retaining employees that focus on employee engagement and belonging, as well as continuing education. Employee performance is measured in part based on goals that are aligned with the Company’s annual objectives.</w:t>
      </w:r>
    </w:p>
    <w:p>
      <w:pPr>
        <w:spacing w:after="0" w:line="10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CEG is committed to maintaining a workplace that acknowledges, encourages and values its employees as individuals. The Company and CEG believe that individual differences, experiences, and strengths enrich a company’s culture and help it better understand the needs of its customers and the communities in which it operates.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 (ESG)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committed to engaging with its stakeholders on environmental, social and governance, or ESG, matters in a proactive, holistic and integrated manner. The Company strives to provide recent, credible and comparable data to investors around ESG issues and to comply with ESG disclosure requirements. Clearway, Inc.’s Board of Directors reviews developing trends and emerging ESG matters as well as the Company’s strategies, activities, policies and communications regarding ESG matters, and reviews and considers potential actions the Company could take regarding ESG matters.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Aligned with the Company’s strategy of owning and acquiring environmentally-sound assets, in 2025, approximately 91% of the Company’s total operating revenues were not tied to the dispatch of power generation emitting GHGs. This non-GHG emitting operating revenue included renewable energy generation and grid reliability services in the Company’s Renewables &amp; Storage segment and grid reliability services in the Flexible Generation segment at the El Segundo, Marsh Landing and Walnut Creek facilities. Excluding the Carlsbad facility, which is currently under a long-term tolling agreement whereby the Company does not control the dispatch of the facility, in 2025, approximately 97% of the Company’s total operating revenues were not tied to the dispatch of power generation emitting GHGs.</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Also in 2025, 98% of the Company’s total generation was attributable to renewable energy and storage assets. The Company has also issued $2,725 million of corporate green bonds under a green bond framework that applies the net proceeds to finance or refinance, in part or in full, new and existing facilities and assets meeting certain criteria focused on the supply of energy from renewable resources, including solar energy and wind energy, which includes the 2034 Senior Notes that were issued on January 13, 2026, as further described in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Clearway, Inc.’s website,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as soon as reasonably practicable after they are electronically filed with, or furnished to, the SEC. The Company also routinely posts press releases, presentations, webcasts, and other information regarding the Company on Clearway, Inc.’s website. The information posted on Clearway, Inc.’s website is not a part of this report.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The Company’s business is subject to numerous risks and uncertainties, discussed in more detail in the following section. These risks include, among others, the following key risks: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96"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grow and make investments or acquisitions through cash on hand is limited.</w:t>
      </w:r>
    </w:p>
    <w:p>
      <w:pPr>
        <w:spacing w:after="0" w:line="40" w:lineRule="exact"/>
        <w:rPr>
          <w:rFonts w:ascii="Times New Roman" w:cs="Times New Roman" w:eastAsia="Times New Roman" w:hAnsi="Times New Roman"/>
          <w:sz w:val="14"/>
          <w:szCs w:val="14"/>
          <w:color w:val="auto"/>
        </w:rPr>
      </w:pPr>
    </w:p>
    <w:p>
      <w:pPr>
        <w:jc w:val="both"/>
        <w:ind w:left="520" w:hanging="260"/>
        <w:spacing w:after="0" w:line="26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Counterparties to the Company’s offtake agreements may not fulfill their obligations and, as the contracts expire or terminate, the Company may not be able to replace them with agreements on similar terms, or at all.</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effectively consummate future investments or acquisitions will also depend on the Company’s ability to arrange the required or desired financing for such transactions.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indebtedness could adversely affect its ability to raise additional capital to fund the Company’s operations or pay distributions.</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expansion and refurbishment of electric generation facilities involve significant risks that could result in unplanned power outages or reduced output.</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Supplier concentration at certain of the Company’s facilities and the inability of suppliers to meet their obligations may expose the Company to significant financial credit or performance risks.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own all of the land on which its facilities are located, which could result in disruption to its operations. The Company’s use and enjoyment of real property rights for its facilities may be adversely affected by the rights of lienholders and leaseholders that are superior to those of the grantors of those real property rights to the Company.</w:t>
      </w:r>
    </w:p>
    <w:p>
      <w:pPr>
        <w:spacing w:after="0" w:line="1"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businesses are subject to physical, market and economic risks relating to potential effects of climate change and public and governmental initiatives to address climate change.</w:t>
      </w:r>
    </w:p>
    <w:p>
      <w:pPr>
        <w:spacing w:after="0" w:line="194" w:lineRule="exact"/>
        <w:rPr>
          <w:rFonts w:ascii="Times New Roman" w:cs="Times New Roman" w:eastAsia="Times New Roman" w:hAnsi="Times New Roman"/>
          <w:sz w:val="14"/>
          <w:szCs w:val="14"/>
          <w:color w:val="auto"/>
        </w:rPr>
      </w:pPr>
    </w:p>
    <w:p>
      <w:pPr>
        <w:jc w:val="both"/>
        <w:ind w:left="520" w:hanging="260"/>
        <w:spacing w:after="0" w:line="26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Company’s business, financial condition, results of operations and cash flows.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of the Company’s businesses is subject to cyber-based security and integrity risk.</w:t>
      </w:r>
    </w:p>
    <w:p>
      <w:pPr>
        <w:spacing w:after="0" w:line="29" w:lineRule="exact"/>
        <w:rPr>
          <w:rFonts w:ascii="Times New Roman" w:cs="Times New Roman" w:eastAsia="Times New Roman" w:hAnsi="Times New Roman"/>
          <w:sz w:val="14"/>
          <w:szCs w:val="14"/>
          <w:color w:val="auto"/>
        </w:rPr>
      </w:pPr>
    </w:p>
    <w:p>
      <w:pPr>
        <w:jc w:val="both"/>
        <w:ind w:left="520" w:hanging="260"/>
        <w:spacing w:after="0" w:line="26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depends on key personnel and its and CEG’s ability to attract and retain additional skilled management and other personnel, the loss of any of which could have a material adverse effect on the Company’s financial condition and results of operations.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potentially be adversely affected by emerging technologies that may over time impact capacity markets and the energy industry overall.</w:t>
      </w:r>
    </w:p>
    <w:p>
      <w:pPr>
        <w:spacing w:after="0" w:line="4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identified a material weakness in its internal control over financial reporting related to hypothetical liquidation at book value (HLBV) accounting that, if not properly remediated, could adversely affect its business and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 with CEG</w:t>
      </w:r>
    </w:p>
    <w:p>
      <w:pPr>
        <w:spacing w:after="0" w:line="96"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CEG exercises substantial influence over the Company, and the Company is highly dependent on CEG.</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CEG controls the Company and has the ability to designate a majority of the members of Clearway, Inc.’s Board of Directors.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consummate future acquisitions from CEG.</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be unable to terminate the CEG Master Services Agreement, in certain circumstances.</w:t>
      </w:r>
    </w:p>
    <w:p>
      <w:pPr>
        <w:spacing w:after="0" w:line="4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96"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business is subject to restrictions resulting from environmental, health and safety laws and regulations.</w:t>
      </w:r>
    </w:p>
    <w:p>
      <w:pPr>
        <w:spacing w:after="0" w:line="29" w:lineRule="exact"/>
        <w:rPr>
          <w:rFonts w:ascii="Times New Roman" w:cs="Times New Roman" w:eastAsia="Times New Roman" w:hAnsi="Times New Roman"/>
          <w:sz w:val="14"/>
          <w:szCs w:val="14"/>
          <w:b w:val="1"/>
          <w:bCs w:val="1"/>
          <w:color w:val="auto"/>
        </w:rPr>
      </w:pPr>
    </w:p>
    <w:p>
      <w:pPr>
        <w:ind w:left="520" w:hanging="260"/>
        <w:spacing w:after="0" w:line="27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business is subject to complex and evolving U.S. laws and regulations regarding privacy and data protection.</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regulations providing incentives for renewable power generation and battery energy storage could change at any time and such changes may negatively impact the Company’s growth strategy.</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foreign trade policies may have a material adverse effect the Company’s business, operations and financial condition.</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comply with tax laws and policies may depend on its contractual arrangements and information provided by third parties and may require significant resources.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Pursuant to the Company’s cash distribution policy, the Company intends to distribute a significant amount of the CAFD through regular quarterly distributions, and the Company’s ability to grow and make investments and acquisitions through cash on hand is limited.</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investments, acquisitions and growth capital expenditures. The Company may be precluded from pursuing otherwise attractive investments or acquisitions if the projected short-term cash flow from the investment or acquisition is not adequate to service the capital raised to fund the investment or acquisition, after giving effect to the Company’s available cash reserves. The incurrence of bank borrowings or other debt by Clearway Energy Operating LLC or by the Company’s operating subsidiaries to finance the Company’s growth strategy will result in increased interest expense and the imposition of additional or more restrictive covenants, which, in turn, may impact the cash distributions the Company makes to Clearway, Inc. and CEG.</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business strategy includes growth through investments in, and acquisitions of, additional generation assets (including through corporate acquisitions). This strategy depends on the Company’s ability to successfully identify and evaluate investment and acquisition opportunities and consummate investments and acquisitions on favorable terms. However, the number of investment and acquisition opportunities is limited. In addition, the Company will compete with other companies for these limited investment and acquisition opportunities, which may increase the Company’s cost of making investments or acquisitions or cause the Company to refrain from making investments or acquisitions at all. Some of the Company’s competitors for investments and acquisitions are much larger than the Company with substantially greater financial or human resources. These companies may be able to pay more for investments or acquisitions and may be able to identify, evaluate, bid for and purchase a greater number of assets than the Company’s financial or human resources permit. If the Company is unable to identify and consummate future investments or acquisitions, its ability to execute its growth strategy and increase the amount of distributions paid to Clearway, Inc. and CEG may be limited.</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ability to invest in or acquire future renewable facilities may also depend on the financial viability of renewable energy assets generally. The financial viability of these assets may, from time to time, be impacted by public policy mechanisms, including PTCs, ITCs, cash grants, loan guarantees, accelerated depreciation, RPS and carbon trading plans. These mechanisms have been implemented at the state and federal levels to support the development and ongoing viability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01"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investment in, or acquisition of, companies and assets are subject to substantial risks, including the failure to identify material problems during due diligence (for which the Company may not be indemnified post-closing) and the risk of overpaying for assets (or not making investments or acquisitions on an accretive basis). The integration and consolidation of acquisitions requires substantial human, financial and other resources and, ultimately, the Company’s acquisitions may divert management’s attention from the Company’s existing business operations, disrupt the Company’s ongoing business or not be successfully integrated. There can be no assurances that any future investments or acquisitions will perform as expected or that the returns from such investments or acquisitions will support the financing utilized to invest in, acquire or maintain them. A failure to achieve the financial returns the Company expects when it invests in or acquires generation assets could have a material adverse effect on the Company’s ability to grow its business and make cash distributions to its unit holders. Any failure of the Company’s acquired generation assets to be accretive or difficulty in integrating such acquisition into the Company’s business could have a material adverse effect on the Company’s ability to grow its business and make cash distributions to its unit holders. As a result, the consummation of acquisitions could have a material adverse effect on the Company’s business, financial condition, results of operations, cash flows and ability to pay distributions to its unit holders.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7" w:name="page18"/>
    <w:bookmarkEnd w:id="17"/>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Counterparties to the Company’s offtake agreements may not fulfill their obligations and, as the contracts expire or terminate, the Company may not be able to replace them with agreements on similar terms, or at all.</w:t>
      </w:r>
    </w:p>
    <w:p>
      <w:pPr>
        <w:spacing w:after="0" w:line="8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majority of the electric power the Company generates within the Renewables &amp; Storage segment is sold under long-term offtake agreements with public utilities or industrial or commercial end-users, with a weighted average remaining duration, based on CAFD, of approximately 12 years. As of December 31, 2025, the largest customers of the Company’s power generation and BESS assets, including assets in which the Company has less than a 100% membership interest, were SCE and PG&amp;E, which represented 22% and 16%, respectively, of total consolidated revenues generated by the Company during the year ended December 31, 2025.</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increasing competition among generators for offtake agreements has contributed to variability in electricity prices in certain markets. As a result, when an existing offtake agreement expires or is terminated, the Company may not be able to secure a replacement agreement on comparable terms and conditions, and the pricing under any such replacement agreement may vary significantly from the expired or terminated agreement, potentially impacting the profitability of the related facility. In addition, the Company’s competitors may be able to respond more quickly to evolving standards or customer requirements or adopt more advanced technology that reduces their production costs, resulting in their ability to compete for, or secure favorable terms in,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effectively consummate future investments or acquisitions will also depend on the Company’s ability to arrange the required or desired financing for such transactions.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may not have sufficient credit availability under the Company’s financing arrangements or have access to facility-level financing on commercially reasonable terms when investment or acquisition opportunities arise. An inability to obtain the necessary or desired financing could significantly limit the Company’s ability to consummate future investments or acquisitions and effectuate the Company’s growth strategy. If financing is available, utilization of the Company’s credit available under its financing arrangements or facility-level financing for all or a portion of the purchase price of an investment or acquisition could significantly increase the Company’s interest expense, impose additional or more restrictive covenants and reduce CAFD. The Company’s ability to consummate future investments or acquisitions may also depend on the Company’s ability to obtain any required regulatory approvals or other third-party approvals for such investments or acquisitions.</w:t>
      </w:r>
    </w:p>
    <w:p>
      <w:pPr>
        <w:spacing w:after="0" w:line="1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2025, the Company had approximately $8,680 million of total consolidated indebtedness, $6,188 million of which was incurred by the Company’s non-guarantor subsidiaries. In addition, the Company’s share of its unconsolidated affiliates’ total indebtedness and letters of credit outstanding as of December 31, 2025, totaled approximately $259 million and $42 million, respectively (calculated as the Company’s unconsolidated affiliates’ total indebtedness as of such date multiplied by the Company’s percentage membership interest in such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4"/>
          <w:szCs w:val="14"/>
          <w:color w:val="auto"/>
        </w:rPr>
        <w:t>The Company’s substantial debt could have important negative consequences on the Company’s financial condition, including:</w:t>
      </w:r>
    </w:p>
    <w:p>
      <w:pPr>
        <w:spacing w:after="0" w:line="51"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Company’s vulnerability to general economic and industry conditions;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the Company’s cash flow from operations to be dedicated to the payment of principal and interest on the Company’s indebtedness, therefore reducing the Company’s ability to pay distributions to Clearway, Inc. and CEG or to use the Company’s cash flow to fund its operations, capital expenditures and future business opportunities;</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enter into long-term power sales or fuel purchases which require credit support;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fund operations or future investments or acquisitions;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the Company’s ability to make certain distributions to Clearway, Inc. and CEG and the ability of the Company’s subsidiaries to make certain distributions to it, in light of restricted payment and other financial covenants in the Company’s credit facilities and other financing agreements;</w:t>
      </w:r>
    </w:p>
    <w:p>
      <w:pPr>
        <w:ind w:left="520" w:hanging="260"/>
        <w:spacing w:after="0" w:line="284"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the Company to the risk of increased interest rates because certain of the Company’s borrowings, which may include borrowings under the Company’s revolving credit facility, are at variable rates of interest;</w:t>
      </w:r>
    </w:p>
    <w:p>
      <w:pPr>
        <w:ind w:left="520" w:hanging="260"/>
        <w:spacing w:after="0" w:line="284"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obtain additional financing for working capital including collateral postings, capital expenditures, debt service requirements, investments, acquisitions and general corporate or other purposes; and</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adjust to changing market conditions and placing it at a competitive disadvantage compared to the Company’s competitors who have less debt.</w:t>
      </w:r>
    </w:p>
    <w:p>
      <w:pPr>
        <w:spacing w:after="0" w:line="13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revolving credit facility contains financial and other restrictive covenants that limit the Company’s ability to return capital to unit 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agreements governing the Company’s facility-level financing contain financial and other restrictive covenants that limit the Company’s operating subsidiaries’ ability to make distributions to the Company or otherwise engage in activities that may be in the Company’s long-term best interests. The facility-level financing agreements generally prohibit distributions from the operating subsidiaries to the Company unless certain specific conditions are met, including the satisfaction of certain financial ratios. The Company’s inability to satisfy certain financial covenants may prevent cash distributions by the particular operating subsidiary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operating subsidiaries, it would likely have a material adverse effect on the Company’s ability to pay distributions to Clearway, Inc. and CEG.</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Letter of credit facilities to support contractual obligations of operating subsidiaries generally have a limited term that may require future renewal, at which time the Company or relevant operating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facility-level financing arrangements, restrict the ability of the operating subsidiary to make distributions to it and/or reduce the amount of cash available at such subsidiary to make distributions to the 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ind w:firstLine="318"/>
        <w:spacing w:after="0" w:line="284" w:lineRule="auto"/>
        <w:rPr>
          <w:sz w:val="20"/>
          <w:szCs w:val="20"/>
          <w:color w:val="auto"/>
        </w:rPr>
      </w:pPr>
      <w:r>
        <w:rPr>
          <w:rFonts w:ascii="Times New Roman" w:cs="Times New Roman" w:eastAsia="Times New Roman" w:hAnsi="Times New Roman"/>
          <w:sz w:val="14"/>
          <w:szCs w:val="14"/>
          <w:color w:val="auto"/>
        </w:rPr>
        <w:t>In addition, the Company’s ability to arrange financing, either at the corporate level or at a non-recourse operating subsidiary, and the costs of such capital, are dependent on numerous factors, including:</w:t>
      </w:r>
    </w:p>
    <w:p>
      <w:pPr>
        <w:spacing w:after="0" w:line="1"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capital market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availability from banks and other financial institutions;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the Company, Clearway, Inc. (as the Company’s sole managing member) and CEG, Clearway, Inc.’s sole managing member and principal stockholder;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the regional wholesale power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financial performance and the financial performance of the Company subsidiaries;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level of indebtedness and compliance with covenants in debt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acceptable credit ratings or credit quality;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tax and securities laws that may impact raising capital.</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may not be successful in obtaining additional capital for these or other reasons. Furthermore, the Company may be unable to refinance or replace facility-level financing arrangements or other credit facilities on favorable terms or at all upon the expiration or termination thereof. The Company’s failure, or the failure of any of the Company’s facilities,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the Company’s long-term bilateral contracts result from state-mandated procurements and could be declared invalid by a court of competent jurisdiction.</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generation of electric energy from solar and wind energy sources depends heavily on suitable meteorological conditions.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floods or freezing temperatures and other winter weather conditions. Unfavorable weather and atmospheric conditions could impair the effectiveness of the Company’s assets or reduce their output beneath their rated capacity or require shutdown of key equipment, impeding operation of the Company’s renewable energy assets. For example, in February 2021, many electricity generating assets, including the Company’s wind facilities in Texas, were unable to operate and experienced outages for a few days as a result of the extreme winter weather conditions. In addition, climate change may have the long-term effect of changing wind patterns at the Company’s facilities. Changing wind patterns could cause changes in expected electricity generation. These events could also degrade equipment or components and the interconnection and transmission facilities’ lives or maintenance costs.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have a material adverse effect on the Company’s business, financial condition, results of operations and cash flows.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ongoing operation of the Company’s facilities involves risks that include the breakdown or failure of equipment or processes or performance below expected levels of output or efficiency due to wear and tear, latent defect, design error,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In addition, replacement and spare parts for key components may be difficult or costly to acquire or may be unavailable.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substitute RA or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Additionally, the proceeds of any such insurance, warranties or performance guarantees may not be received in a timely manner.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securing adequate insurance coverage has become more difficult in recent years, and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earthquakes, floods, lightning, hurricanes, wildfires and strong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facilities may operate, wholly or partially, without long-term power sales agreements.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economic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Maintenance, expansion and refurbishment of electric generation facilities involve significant risks that could result in unplanned power outages or reduced output.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Clearway, Inc. and CEG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If the Company makes any major modifications to its facilities in the Flexible Generation segment, it may be required to install the best available control technology or to achieve the lowest achievable emission rates as such terms are defined under the new source review provisions of the Clean Air Act in the future. Any such modifications could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Supplier concentration at certain of the Company’s facilities and the inability of suppliers to meet their obligations may expose the Company to significant financial credit or performance risks.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Company’s business, financial condition, results of operations, credit support terms and cash flows.</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failure of any supplier to fulfill its contractual obligations to the Company could have a material adverse effect on its financial results. Consequently, the financial performance of the Company’s facilities is dependent on the credit quality of, and continued performance by, the Company’s suppliers and vendors.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7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As described in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Company has limited control over the management and operation of certain of its assets, because the Company does not beneficially own all of the membership interests in such assets. The Company may seek to acquire additional assets in which it owns less than all of the related membership interests in the future. In these investments, the Company will seek to exert a degree of influence with respect to the management and operation of assets in which it owns less than all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unit holders, on the one hand, and the Company’s co-venturers, on the other hand, where the Company’s co-venturers’ business interests are inconsistent with the interests of the Company and its unit 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2" w:name="page23"/>
    <w:bookmarkEnd w:id="22"/>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uses interest rate swaps to manage interest rate risk and uses energy-related financial instruments to manage variability in earnings due to fluctuations in market prices.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Company’s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does not own all of the land on which its facilities are located, which could result in disruption to its operations.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does not own all of the land on which its facilities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assets.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use and enjoyment of real property rights for its facilities may be adversely affected by the rights of lienholders and leaseholders that are superior to those of the grantors of those real property rights to the Company.</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Generation facilities generally are, and are likely to be, located on land occupied by the facility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facility’s easements and leases. As a result, the facility’s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facilities are located, which could have a material adverse effect on the Company’s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wildfires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governmental, scientific and public concern over the threat of climate change arising from GHG emissions may limit the Company’s access to natural gas or decrease demand for energy generated by the Company’s assets in the Flexible Generation segment.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Company’s business, financial condition, results of operations and cash flows.</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have a material adverse effect on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0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Furthermore, certain of the Company’s assets are located in active earthquake zones in California and Arizona, and certain facilities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relies on a limited number of highly skilled personnel for some of its operations, as well as certain independent contractors and other service providers. If a large proportion of the Company’s or CEG’s personnel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personnel,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Company’s business, financial condition, results of operations and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operation of the Company’s businesses is subject to cyber-based security and integrity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the Company is dependent upon the computer systems of third-party providers to process certain data necessary to conduct its business, including sensitive employee information, credit card transaction information and other sensitive data.</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From time to time, the Company engages a range of third parties as a part of its cybersecurity risk management. While such engagements are aimed at bolstering the effectiveness of the Company’s risk management processes, they introduce inherent risks and complexities that warrant careful consideration. Any oversight or failure on the part of these third parties could compromise the security of the Company’s sensitive data, proprietary information and critical business processes, leading to potential data breaches or unauthorized access. Additionally, the reliance on external entities introduces complexities in coordinating risk management efforts, data sharing and maintaining confidentiality. Any mismanagement or inadequate coordination between the Company’s internal teams and third-party vendors could result in delays in responding to cybersecurity threats or gaps in its risk mitigation strategies. In addition, while the Company and its third-party service providers commit resources to the design, implementation and monitoring of the Company’s computer systems, there is no guarantee that these security measures will provide absolute security. Despite these security measures, the Company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4" w:name="page25"/>
    <w:bookmarkEnd w:id="24"/>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Potential disruptive actions could result from cyberspace breaches, ransomware or other malware, phishing or social engineering schemes or attacks or other cybersecurity threats, attacks or intrusions, including by computer hackers, foreign governments and cyber terrorists, or otherwise be compromised by unintentional events with respect to the Company or any of its contractors or customers. If the Company or any of its third-party providers’ systems for protecting against such cybersecurity threats prove to be insufficient, current or planned business operations could be interrupted, property could be damaged and confidential, proprietary or other sensitive information, including employee, customer or supplier information, could be lost, stolen or corrupted, which may cause the Company to incur significant losses of revenues, other substantial liabilities and damages, costs to replace or repair damaged equipment and damage to the Company’s reputation. The Company’s insurance may not fully protect it against such losses, and costs for insurance may also increase as a result of cybersecurity threats. In addition, the Company may experience increased capital and operating costs to implement increased security for its cyber systems and generating assets.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cyberattacks against the Company or others in its industry could result in additional regulations, which could lead to increased regulatory compliance costs, insurance coverage cost or capital expenditures. Any failure by the Company to comply with these additional regulations could subject it to regulatory investigations or litigation and could result in significant penalties and liability. The Company cannot predict the potential impact to its business or the energy industry resulting from such additional regulations.</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9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facilities under construction. Additionally, such failures, delays or increased costs could have a material adverse effect on the Company’s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Company’s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Delivery of fuel supplies to the Company’s facilities in the Flexible Generation segment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depends on key personnel and its and CEG’s ability to attract and retain additional skilled management and other personnel, the loss of any of which could have a material adverse effect on the Company’s financial condition and results of operations.</w:t>
      </w:r>
    </w:p>
    <w:p>
      <w:pPr>
        <w:spacing w:after="0" w:line="8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does not have employees of its own and instead depends solely on the services provided by or under the direction of CEG under the CEG Master Services Agreement to carry out its operations. The Company therefore believes its current operations and future success depend largely on the continued services of key personnel employed by CEG, including those individuals who provide management, operational, technical and other services to the Company under the CEG Master Services Agreement. The expertise, industry knowledge and experience of these individuals are critical to the Company’s ability to operate its business, execute its growth strategy and maintain effective internal controls and compliance. Although the Company currently has access to the resources of CEG, the loss of one or more key personnel of the Company or CEG, or the inability of the Company or CEG to attract, retain or adequately replace qualified individuals in a timely manner, could disrupt the Company’s operations, delay or impair the execution of its business plans and negatively impact its relationships with customers, suppliers and other third parties. In addition, because CEG personnel and support staff that provide services to the Company under the CEG Master Services Agreement are not solely responsible for the management and administration of the Company, and the CEG Master Services Agreement does not require any specific individuals to be provided by CEG, there can be no assurance that the Company will have continued access to the same level of expertise or attention from CEG personnel in the future. Any significant reduction in the quality or quantity of services provided by CEG personnel could have a material adverse effect on the Company’s business,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potentially be adversely affected by emerging technologies that may over time impact capacity markets and the energy industry overall.</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has identified a material weakness in its internal control over financial reporting related to hypothetical liquidation at book value (HLBV) accounting that, if not properly remediated, could adversely affect its business and results of operations.</w:t>
      </w:r>
    </w:p>
    <w:p>
      <w:pPr>
        <w:spacing w:after="0" w:line="8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A material weakness is a deficiency, or combination of deficiencies, in internal control over financial reporting such that there is a reasonable possibility that a material misstatement of the Company’s annual or interim consolidated financial statements may not be prevented or detected on a timely basis. As described in Item 9A, </w:t>
      </w:r>
      <w:r>
        <w:rPr>
          <w:rFonts w:ascii="Times New Roman" w:cs="Times New Roman" w:eastAsia="Times New Roman" w:hAnsi="Times New Roman"/>
          <w:sz w:val="14"/>
          <w:szCs w:val="14"/>
          <w:i w:val="1"/>
          <w:iCs w:val="1"/>
          <w:color w:val="auto"/>
        </w:rPr>
        <w:t>Controls and Procedures</w:t>
      </w:r>
      <w:r>
        <w:rPr>
          <w:rFonts w:ascii="Times New Roman" w:cs="Times New Roman" w:eastAsia="Times New Roman" w:hAnsi="Times New Roman"/>
          <w:sz w:val="14"/>
          <w:szCs w:val="14"/>
          <w:color w:val="auto"/>
        </w:rPr>
        <w:t>, during the fourth quarter of 2025, the Company’s management identified a material weakness in its internal control over financial reporting due to ineffective controls over the review of certain calculations of HLBV accounting used to allocate net income (loss) to the Company’s redeemable noncontrolling interests and noncontrolling interests in tax equity partnerships.</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Although the Company is in the process of remediating the material weakness and believes, based on its evaluation to date, that the material weakness will be remediated in a timely fashion, it cannot provide assurance that this will occur within a specific timeframe. The material weakness will not be remediated until all necessary internal controls have been tested and determined to be operating effectively. In addition, the Company may need to take additional measures to address the material weakness or modify the planned remediation steps, and the Company cannot be certain that the measures it has taken, and expect to take, to improve its internal controls will be sufficient to address the issues identified, to ensure that its internal controls are effective or to ensure that the identified material weakness will not result in a material misstatement of the Company’s consolidated financial statements. Moreover, the Company cannot provide assurance that it will not identify additional material weaknesses in its internal control over financial reporting in the future.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Implementing any further changes to the Company’s internal controls may distract its officers and employees and entail material costs to implement new processes and/or modify its existing processes. Moreover, until the Company successfully remediates the material weakness, its ability to record, process and report financial information accurately, and to prepare financial statements within the time periods specified by the rules and forms of the SEC, could be adversely affected. This failure could negatively affect the market price and trading liquidity of Clearway, Inc.’s common stock, cause Clearway, Inc.’s investors to lose confidence in the Company’s reported financial information, impair the Company’s ability to access the capital markets on acceptable terms and generally materially and adversely impact the Company’s business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Relationships with CEG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exercises substantial influence over the Company, and the Company is highly dependent on CEG.</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CEG owns all of Clearway, Inc.’s outstanding Class B and Class D common stock. Clearway, Inc.’s outstanding Class B and Class D common stock is entitled to one vote per share and 1/100th of a vote per share, respectively. As a result of its ownership of Clearway, Inc.’s Class B and Class D common stock, CEG owns 54.89% of the combined voting power of Clearway, Inc.’s common stock as of December 31, 2025. Clearway, Inc., through its holdings of Class A units and Class C units, owned a 58.62% economic interest in the Company as of December 31, 2025. Additionally, CEG, through its holdings of Class B units and Class D units, owned the remaining 41.38% economic interest in the Company as of December 31, 2025. As a result of this ownership, CEG has substantial influence on the Company’s affairs.</w:t>
      </w:r>
    </w:p>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Furthermore, effective January 1, 2025, the Company effected a reorganization pursuant to which all of the employees of the Company transferred to CEG. As a result, the Company does not have employees of its own and instead depends solely on the services provided by or under the direction of CEG under the CEG Master Services Agreement to carry out its operations. CEG personnel and support staff that provide services to the Company under the CEG Master Services Agreement are not solely responsible for the management and administration of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Company’s business, financial condition, results of operations and cash flows. The CEG Master Services Agreement will continue in perpetuity, until terminated in accordance with its terms.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Company’s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controls the Company and has the ability to designate a majority of the members of Clearway, Inc.’s Board of Directors.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Due to CEG’s approximate 54.89% combined voting power in Clearway, Inc., the ability of other holders of Clearway, Inc.’s Class A and Class C common stock to exercise control over the corporate governance of the Company is limited. CEG has a substantial influence on Clearway, Inc.’s affairs, and CEG’s voting power constitutes a large percentage of any quorum of Clearway, Inc.’s stockholders voting on any matter requiring the approval of Clearway, Inc.’s stockholders. Such matters include the election of directors, the adoption of amendments to Clearway, Inc.’s amended and restated certificate of incorporation and fourth amended and restated bylaws and approval of mergers or sale of all or substantially all of its assets. This concentration of ownership may also have the effect of delaying or preventing a change in control of Clearway, Inc. or discouraging others from making tender offers for Clearway, Inc.’s shares. In addition, CEG and its affiliates have the right to elect all of Clearway, Inc.’s directors. It is possible that the interests of CEG and its affiliates may in certain circumstances differ from the interests of the Company or other holders of Clearway, Inc.’s Class A and Class C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consummate future acquisitions from CEG.</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ability to grow through acquisitions depends, in part, on CEG’s ability to identify and present the Company with acquisition opportunities. There are a number of factors that could materially and adversely impact the extent to which suitable acquisition opportunities are made available from CEG. For example, due to factors inside or outside the Company’s control, CEG may be unable to develop or construct facilities that are ultimately compatible with the Company’s operational requirements or that otherwise result in suitable acquisition opportunities for the Company, or CEG may not be able to develop facilities that provide cash flows that would support the Company’s investment requirements due to numerous factors impacting the economics of the facilities, including negotiation of engineering, procurement and construction and offtake contracts, as well as securing long-term financing for the facilities.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be unable to terminate the CEG Master Services Agreement, in certain circumstances.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gross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90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8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relies on CEG to provide certain services under the CEG Master Services Agreement, including the provision of information technology services. The CEG Master Services Agreement provides that CEG may terminate the agreement upon 180 days prior written notice of termination to the Company (i) if the Company defaults in the performance or observance of any material term, condition or covenant contained in the agreement in a manner that results in material harm to CEG and the default continues unremedied for a period of 30 days after written notice of the breach is given; or (ii) upon the happening of certain events relating to the bankruptcy or insolvency of the Company. If CEG terminates the CEG Master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 In connection with the provision of services under the CEG Master Services Agreement, during January 2026, CEG began the use of a new enterprise resource planning, or ERP, application to support its core business processes and data. The implementation of the new ERP application will continue to require significant human resources, which could impact CEG’s ability to provide services to the Company under the CEG Master Services Agreement. CEG expects the new ERP application to be fully implemented by the end of the first quarter of 2026. In addition, the Company is relying on CEG’s new ERP application to support its core business processes, data, financial accounting, financial reporting and internal controls. If CEG is unable to complete an effective implementation of its ERP application in a timely manner during the first quarter of 2026, it could adversely impact the Company and its ability to meet its financial reporting and internal control requirements.</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liability of CEG is limited under the Company’s arrangements with it, and the Company has agreed to indemnify CEG against claims that it may face in connection with such arrangements, which require the Company to satisfy significant indemnification obligations.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the Company assuming greater risks when CEG makes decisions relating to the Company. The indemnification arrangements may give rise to legal claims for indemnification that are adverse to the Company and its unit holders, and, depending on the scope and magnitude of these claims, the Company may incur significant expenses and other financial obligations to cover such claims.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8" w:name="page29"/>
    <w:bookmarkEnd w:id="28"/>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of the Company’s PPAs and facility-level financing arrangements include provisions that would permit the counterparty to terminate the contract or accelerate maturity in the event CEG ceases to control or own, directly or indirectly, a majority of the voting power of the Company.</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Certain of the Company’s PPAs and facility-level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CEG ceases to own, directly or indirectly, capital stock representing more than 50% of the voting power of the Company’s capital stock outstanding on such date, or, in some cases, if CEG ceases to be the majority owner, directly or indirectly, of the applicable facility. As a result, if CEG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facility-level financing could have a material adverse effect on the Company’s business, financial condition, results of operations and cash flow.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restrictions resulting from environmental, health and safety laws and regulations.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indemnify it for environmental liabilities the operators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Local, state and federal regulations may focus on areas such as monitoring and restricting GHG emissions, which could prove unfavorable to the Company’s segments depending on their form. Alternatively, local, state and federal regulations may also target restricting the development of renewable energy capacity through restrictions on land use, interconnection and removal of government incentives for renewable energy. Significant changes to local, state and federal regulations may have material impacts on the Company’s cost of compliance with these regulations on the Company’s ability to operate its existing assets economically. In addition, the Company may be adversely affected by changes to regulations that restrict the Company’s ability to acquire or invest in new facilities. The effect on the Company of any new legislative or regulatory measures will depend on the particular provisions that are ultimately adopted. In addition, sudden changes to local, state or federal regulations may result in the Company’s inability to quickly react and respond to these changes.</w:t>
      </w:r>
    </w:p>
    <w:p>
      <w:pPr>
        <w:spacing w:after="0" w:line="10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Companies across all industries may face increased scrutiny from the public, stakeholders and government agencies related to their environmental, social, and governance, or ESG, practices and commitments to address climate change. For example, in March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U.S. Court of Appeals considered the litigation. On March 27, 2025, the SEC voted to end the defense of the rules in the litigation. On September 12, 2025, the U.S. Court of Appeals denied the SEC’s request to proceed with the case and indicated that the case would be held in abeyance until the SEC either renews its defense of the rules or revises the rules through notice-and-comment rulemaking. Additionally, in September 2023, California passed climate-related disclosure mandates, which are broader than the SEC’s proposed rules. In the event the SEC’s climate disclosure rules go into effect or states in which the Company operates or does business adopt climate disclosure requirements, the Company could incur significant additional costs relating to the assessment and disclosure of climate-related risks.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9" w:name="page30"/>
    <w:bookmarkEnd w:id="29"/>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assets in the Flexible Generation segment or decrease the demand for the energy generated by these assets. In addition, the additional disclosure requirements involve a significant recordkeeping requirement, which could result in the need for additional resources to support compliance. The Company will also be reliant upon its vendors in providing the necessary information for compliance, which may provide additional challenges in meeting compliance requirements. Further, failure or a perception of failure to implement the Company’s ESG practices or achieve sustainability goals and targets it has set could damage the Company’s reputation, causing investors or customers to lose confidence in the Company, and negatively impact the business.</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All of the Company’s generating assets are operating either as EWGs as defined under the PUHCA, or as QFs as defined under the PURPA, as amended, and are not required to comply with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must-offer rules,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11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revenues related to GenConn are established each year by the Connecticut Public Utilities Regulatory Authority. While such regulatory oversight is generally premised on the recovery of prudently incurred costs and a reasonable rate of return on invested capital, there can be no assurance that the applicable regulatory authorities approve rates or revenues that fully recover costs or provide an adequate return on the Company’s capital investments. This risk of inadequate cost recovery could have a material adverse effect on the Company’s business, financial condition, results of operations and cash flows.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complex and evolving U.S. laws and regulations regarding privacy and data protection. Many of these laws and regulations are subject to change and uncertain interpretation, and could result in claims, increased cost of operations, or otherwise harm the Company’s business.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regulatory environment surrounding data privacy and protection is constantly evolving, and new or amended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private parties, subject the Company to significant fines, penalties, judgments, and negative publicity, require the Company to change its business practices, and increase the costs and complexity of compliance, any of which could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Government regulations providing incentives for renewable power generation and battery energy storage could change at any time and such changes may negatively impact the Company’s growth strategy.</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facilities and they could be changed, reduced or eliminated at any time. These incentives make the development of renewable power generation facilities more competitive by providing tax credits or grants and accelerated depreciation for a portion of the development costs, decreasing the costs and risks associated with developing such facilities or creating demand for renewable power assets through RPS programs.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elimination or loss of, or reduction in, such incentives as a result of future legislation or regulation could (i) decrease the attractiveness of renewable power generation or BESS facilities to developers, including, but not limited to, CEG, which could reduce the Company’s acquisition opportunities, (ii) reduce the Company’s willingness to pursue or develop certain renewable power facilities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Any of the foregoing could have a material adverse effect on the Company’s business, financial condition, results of operations and ability to grow its business and make cash distributions.</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August 15, 2025, the U.S. Treasury Department issued new guidance regarding the interpretation of “begin construction” requirements for wind, solar and BESS facilities that claim “technology neutral credits” under sections 45Y or 48E of the Internal Revenue Code. The guidance requires developers of wind and solar projects with a maximum net output of greater than 1.5 megawatts to perform physical work of a significant nature to qualify a project as having started, and then meet a continuity test. Under the continuity test, developers must place a project in service within four years after the end of the year in which construction starts or show that construction has been continuous from and after the start. The new guidance applies only to wind and solar projects that seek to qualify for “technology neutral credits” under Sections 45Y and 48E of the Internal Revenue Code and applies only for purposes of determining whether projects began construction before July 4, 2026. It does not apply to projects that began construction prior to September 2, 2025.</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2" w:name="page33"/>
    <w:bookmarkEnd w:id="32"/>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U.S. foreign trade policies, including the imposition of additional tariffs and other trade barriers, and efforts to withdraw from or materially modify international trade agreements, may have a material adverse effect on the Company’s business, operations and financial condition.</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U.S. foreign trade policy continues to evolve, and recent actions have resulted in the imposition of new and increased tariffs, as well as other trade barriers, on the foreign import of certain materials and products. For example, effective February 4, 2025, the U.S. government implemented an additional tariff on goods imported into the U.S. from China and announced additional tariffs on goods imported into the U.S. from Mexico and Canada beginning in March 2025. Additionally, the U.S. government announced and rescinded multiple tariffs on several foreign jurisdictions, which increased uncertainty regarding the ultimate effect on the tariffs on economic conditions. In August 2025, however, the U.S. Court of Appeals for the Federal Circuit ruled that the tariffs imposed by the current administration exceed presidential authority and therefore are invalid, and in February 2026, the U.S. Supreme Court affirmed such decision. Following the ruling, the current administration signed an executive order imposing a 10% “global tariff” and later indicated an intention to increase such “global tariff” to 15%, effective immediately, using presidential powers under certain U.S. trade laws. If implemented, such tariffs can remain in effect for up to 150 days, which may be extended by the U.S. Congress. The current administration may continue to impose additional tariffs under other U.S. trade laws. The Company cannot predict what additional changes to trade policy will be made by the presidential administration or Congress, including whether existing tariff policies will be maintained or modified, what materials or products may be subject to such policies or whether the entry into new bilateral or multilateral trade agreements, or the amendment or termination of existing trade agreements, will occur, nor can the Company predict the effects that any such changes would have on its business. However, such steps, if adopted, could increase the Company’s costs, disrupt supply chains, delay project timelines or otherwise adversely impact its business and operations. In addition, changes in U.S. trade policy have resulted, and could again result, in reactions from U.S. trading partners, including adopting responsive trade policies. For example, in response to the U.S. government’s additional tariff on imports from China, on February 4, 2025, the Chinese government announced that it would implement tariffs on certain goods being imported into China from the U.S. Similar responsive measures have been announced or implemented by other countries affected by U.S. trade actions. There can be no assurance that such changes in U.S. or foreign trade policy or in laws and policies governing foreign trade, and any resulting negative sentiments or retaliatory trade practices towards the U.S. as a result of such changes, would not have a material adverse effect on the Company’s business, financial condition, results of operations and liquidity.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comply with tax laws and policies may depend on its contractual arrangements and information provided by third parties and may require significant resources.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order to qualify for tax credits and incentives available for the development of clean energy facilities and the production of clean energy, the Company must satisfy stringent compliance, recordkeeping and certification requirements. Additionally, in order to qualify for the full amount of available credits, the Company must comply with prevailing wage and apprenticeship requirements applicable to facilities on which construction began on or after January 28, 2023. Applicable tax rules permit certain defects in meeting the requirements to be timely cured under certain conditions rather than causing a loss of the tax credits.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Moreover, the documentation required for this compliance will come from third-party vendors, including equipment manufacturers and engineering, procurement and construction contractors and subcontractors as well as the Company’s internal sources. In addition, if there are defects in compliance with the prevailing wages and apprenticeship requirements, the payments to cure such deficiencies will need to be made by these third parties to their employees. The conduct of these third parties can also impact the right to claim tax credits and/or the exposure to penalties if they fail to adequately comply with the tax laws.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While the Company has secured and will continue to attempt to secure the necessary access to the information required to meet its compliance and certification requirements under the tax law and has included and will continue to include in contracts with third parties rights to have third parties make cure payments if necessary, the Company may not be able to control whether appropriate documentation is actually available or provided in a timely manner and/or whether cure actions are taken by a third party in a timely fashion. This may result in the incurrence of penalties and loss of tax credits. It is also possible that the terms negotiated with third parties fail to meet the requirements of tax law either with respect to compliance requirements, documentation or conduct of third-parties. The impact of such noncompliance could have a material adverse effect on the Company’s business, financial condition and results of operations.</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Moreover, the costs and resources required to adequately comply with the aforementioned requirements and to monitor the activities of third parties are still to be determined as the Company puts in place its compliance and documentation program.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3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This Annual Report on Form 10-K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and the following:</w:t>
      </w:r>
    </w:p>
    <w:p>
      <w:pPr>
        <w:spacing w:after="0" w:line="274"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distributions;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CEG and its owners;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investment opportunities, as well as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CEG;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 Unresolved Staff Comments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Item 1C — Cybersecurity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recognizes the critical importance of developing, implementing and maintaining robust cybersecurity measures to safeguard information systems and protect the confidentiality, integrity and availability of data.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Managing Material Risks &amp; Integrated Overall Risk Management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has strategically integrated cybersecurity risk management into its broader risk management framework to promote a company-wide culture of cybersecurity risk management. The Company’s risk management team works closely with the IT department to continuously evaluate and address cybersecurity risks in alignment with business objectives and operational needs. In addition, the Company follows the National Institute of Standards and Technology (NIST) Cybersecurity Framework (CSF).</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Engage Third Parties on Risk Management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Recognizing the complexity and evolving nature of cybersecurity threats, the Company engages with a range of external experts, including cybersecurity consultants in evaluating and testing its cybersecurity systems. The Company’s collaboration with these third parties includes regular audits; threat and vulnerability assessments; incident response plan testing; company-wide monitoring of cybersecurity risks; and consultation on security enhancements.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Oversee Third-Party Risk</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Due to the risks associated with the engagement of third-party vendors, service providers and business partners, the Company applies processes to manage these risks. Thorough security assessments of third-party vendors with access to internal protected data or information systems occurs before engagement, as well as ongoing monitoring to ensure compliance with relevant cybersecurity standards. The monitoring includes annual assessments by CEG’s Vice President of Information Technology and its Director of Cybersecurity and assessments on an ongoing basis by the internal cybersecurity team. These services are provided to the Company pursuant to the CEG Master Services Agreement. This approach is designed to mitigate risks related to potential data breaches or other security incidents originating from third parties.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Risks from Cybersecurity Threats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As of February 24, 2026, the Company was not aware of any cybersecurity threats or incidents that have materially affected, or are reasonably likely to materially affect the Company, including its business strategy, results of operations or financial standing. However, there can be no assurance that the Company’s cybersecurity processes will prevent or mitigate cybersecurity incidents or threats or that the Company’s efforts will always be successful. For further discussion regarding the Company’s cybersecurity risks, see Item 1A — Risk Factors, </w:t>
      </w:r>
      <w:r>
        <w:rPr>
          <w:rFonts w:ascii="Times New Roman" w:cs="Times New Roman" w:eastAsia="Times New Roman" w:hAnsi="Times New Roman"/>
          <w:sz w:val="14"/>
          <w:szCs w:val="14"/>
          <w:i w:val="1"/>
          <w:iCs w:val="1"/>
          <w:color w:val="auto"/>
        </w:rPr>
        <w:t>Risks Related to the Company’s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Oversight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Inc.’s Board of Directors has oversight of cybersecurity risks and is well informed with respect to the nature and scope of such risks. The Board of Directors is acutely aware of the critical nature of managing risks associated with cybersecurity threats. The Board of Directors has established oversight mechanisms to ensure effective governance in managing risks associated with cybersecurity as they recognize the significance of these risks and threats to operational integrity and stakeholder confidence.</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Reporting to Board of Directors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each play a pivotal role in informing Clearway, Inc.’s Board of Directors on cybersecurity risks. They provide briefings to the Board of Directors on a regular basis, with a minimum frequency of once per year. These briefings encompass a broad range of topics, including:</w:t>
      </w:r>
    </w:p>
    <w:p>
      <w:pPr>
        <w:spacing w:after="0" w:line="82"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cybersecurity threat landscape and emerging threats;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Status of ongoing cybersecurity initiatives and strategies;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Incident reports and learnings from any meaningful cybersecurity events;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status and efforts with regulatory requirements and industry standards.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5" w:name="page36"/>
    <w:bookmarkEnd w:id="35"/>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In addition to scheduled meetings, the Board of Directors of Clearway, Inc., the Vice President of Information Technology and the Director of Cybersecurity maintain an ongoing dialogue regarding emerging cybersecurity risks. Together, they receive updates on significant developments in the cybersecurity domain. The Board of Directors actively participates in strategic decisions related to cybersecurity, offering guidance and approval for major strategic decisions and initiatives. This involvement advances the Company’s overall strategy that cybersecurity considerations are integrated into its broader strategic objectives. The Board of Directors conducts an annual review of the Company’s cybersecurity posture and the effectiveness of its risk management strategies through the information, findings and recommendations from the Company’s internal cybersecurity team as well as third-party audits, penetration tests and incident response plan testing outcomes. This review helps identify areas for improvement and helps align cybersecurity efforts with the overall risk management framework.</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Cybersecurity Risk Management Personnel</w:t>
      </w:r>
    </w:p>
    <w:p>
      <w:pPr>
        <w:spacing w:after="0" w:line="12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Primary responsibility for assessing, monitoring and managing cybersecurity risks is overseen by the Vice President of Information Technology and Director of Cybersecurity, whose services are provided to the Company under the CEG Master Services Agreement.</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With over 20 years of experience in the field of cybersecurity, the current Vice President of Information Technology’s background includes in-depth knowledge and experience in developing and executing the Company’s cybersecurity strategies. They oversee the Company’s IT governance programs; test compliance with internal, industry and regulatory standards; remediate known risks; and lead the Company’s employee training program.</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current Director of Cybersecurity has over 30 years of experience in information technology across a variety of industries and compliance programs. The Director of Cybersecurity has been heavily focused on cybersecurity in regulated industries for over 10 years.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Management’s Role Managing Cybersecurity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regularly inform the Company’s management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Clearway, Inc.’s Board of Directors, ensuring that the Board of Directors have insight and can provide guidance on critical cybersecurity issues.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Monitor Cybersecurity Incidents</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are kept informed about the latest developments in cybersecurity, including emerging threats and innovative risk management techniques. They implement and oversee processes for the regular monitoring of the Company’s information systems. This includes the deployment of advanced security measures and regular system audits to identify potential vulnerabilities. In the event of a cybersecurity incident, the Company is equipped with a defined and practiced incident response plan, which includes incident response retainers from respected third parties. This plan includes immediate actions to mitigate the impact of the incident, long-term strategies for remediation and the prevention of future incidents.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Item 2 — Properties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Listed below are descriptions of the Company’s interests in operating facilities as of December 31,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0"/>
        </w:trPr>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Rated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Borders>
              <w:bottom w:val="single" w:sz="8" w:color="auto"/>
            </w:tcBorders>
          </w:tcPr>
          <w:p>
            <w:pPr>
              <w:spacing w:after="0"/>
              <w:rPr>
                <w:sz w:val="13"/>
                <w:szCs w:val="13"/>
                <w:color w:val="auto"/>
              </w:rPr>
            </w:pPr>
          </w:p>
        </w:tc>
      </w:tr>
      <w:tr>
        <w:trPr>
          <w:trHeight w:val="18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MW</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5"/>
                <w:szCs w:val="15"/>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COD</w:t>
            </w: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r>
      <w:tr>
        <w:trPr>
          <w:trHeight w:val="160"/>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Flexible Generation</w:t>
            </w:r>
          </w:p>
        </w:tc>
        <w:tc>
          <w:tcPr>
            <w:tcW w:w="26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Carlsbad </w:t>
            </w:r>
            <w:r>
              <w:rPr>
                <w:rFonts w:ascii="Times New Roman" w:cs="Times New Roman" w:eastAsia="Times New Roman" w:hAnsi="Times New Roman"/>
                <w:sz w:val="14"/>
                <w:szCs w:val="14"/>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Carlsbad,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523</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2018</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El Segundo </w:t>
            </w:r>
            <w:r>
              <w:rPr>
                <w:rFonts w:ascii="Times New Roman" w:cs="Times New Roman" w:eastAsia="Times New Roman" w:hAnsi="Times New Roman"/>
                <w:sz w:val="14"/>
                <w:szCs w:val="14"/>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 Segundo,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2027 - 2029</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GenConn Devon </w:t>
            </w:r>
            <w:r>
              <w:rPr>
                <w:rFonts w:ascii="Times New Roman" w:cs="Times New Roman" w:eastAsia="Times New Roman" w:hAnsi="Times New Roman"/>
                <w:sz w:val="14"/>
                <w:szCs w:val="14"/>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Milford, CT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June 2010</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GenConn Middletown </w:t>
            </w:r>
            <w:r>
              <w:rPr>
                <w:rFonts w:ascii="Times New Roman" w:cs="Times New Roman" w:eastAsia="Times New Roman" w:hAnsi="Times New Roman"/>
                <w:sz w:val="14"/>
                <w:szCs w:val="14"/>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Middletown, CT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June 2011</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Marsh Landing </w:t>
            </w:r>
            <w:r>
              <w:rPr>
                <w:rFonts w:ascii="Times New Roman" w:cs="Times New Roman" w:eastAsia="Times New Roman" w:hAnsi="Times New Roman"/>
                <w:sz w:val="14"/>
                <w:szCs w:val="14"/>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Antioch,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May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2026 - 2030</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Walnut Creek </w:t>
            </w:r>
            <w:r>
              <w:rPr>
                <w:rFonts w:ascii="Times New Roman" w:cs="Times New Roman" w:eastAsia="Times New Roman" w:hAnsi="Times New Roman"/>
                <w:sz w:val="14"/>
                <w:szCs w:val="14"/>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City of Industry, CA</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May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2026 - 2027</w:t>
            </w:r>
          </w:p>
        </w:tc>
      </w:tr>
      <w:tr>
        <w:trPr>
          <w:trHeight w:val="149"/>
        </w:trPr>
        <w:tc>
          <w:tcPr>
            <w:tcW w:w="234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Flexible Generation</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2,770</w:t>
            </w:r>
          </w:p>
        </w:tc>
        <w:tc>
          <w:tcPr>
            <w:tcW w:w="8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2,580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Agua Caliente</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Dateland, AZ</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June 2014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Alpine</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Lancaster,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January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263</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March - June 2024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2026 - 2041</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Avenal</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Avenal,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2011</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Avra Valley</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Pima County, AZ</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2012</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Tucson Electric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Blythe</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Blythe,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2009</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Borrego</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Borrego Springs,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February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Fort Stockton, TX</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2018</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City of Georgetown, TX</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r>
      <w:tr>
        <w:trPr>
          <w:trHeight w:val="15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Catalina</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Kern County,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3"/>
                <w:szCs w:val="13"/>
                <w:color w:val="auto"/>
              </w:rPr>
            </w:pPr>
          </w:p>
        </w:tc>
        <w:tc>
          <w:tcPr>
            <w:tcW w:w="1240" w:type="dxa"/>
            <w:vAlign w:val="bottom"/>
            <w:gridSpan w:val="2"/>
          </w:tcPr>
          <w:p>
            <w:pPr>
              <w:ind w:left="800"/>
              <w:spacing w:after="0" w:line="159"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7"/>
                <w:szCs w:val="7"/>
                <w:color w:val="auto"/>
              </w:rPr>
              <w:t xml:space="preserve"> (d)</w:t>
            </w: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November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CVSR</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 Luis Obispo,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October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2023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 November 2023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2033 - 2038</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Desert Sunlight 250</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Desert Center,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2014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2034</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Desert Sunlight 300</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Desert Center,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2014</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Enterprise</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Iron County, UT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July 2016</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Escalante I</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Beaver County,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Escalante II</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Beaver County, UT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Escalante III</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Beaver County,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Granite Mountain East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Iron County, UT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2016</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Granite Mountain West</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Iron County,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September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Iron Springs</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Iron County, UT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Kansas South</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Lemoore,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June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Luna Valley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Fresno County,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2025</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2040 - 2045</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2022</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Oahu Solar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Oahu, HI</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2019</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Pine Forest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Hopkins County, TX</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2025</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2040 - 2045</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Roadrunner</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Santa Teresa, NM</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2011</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 Paso Electric</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2020</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2035 - 2047</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Rosamond South I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2025</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 High Desert</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Lancaster,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March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1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Kent County, TX</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252</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2023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2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Kent County, TX</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February 2024</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March 2024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January 2023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r>
      <w:tr>
        <w:trPr>
          <w:trHeight w:val="149"/>
        </w:trPr>
        <w:tc>
          <w:tcPr>
            <w:tcW w:w="234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Utility Scale Solar</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4,489</w:t>
            </w:r>
          </w:p>
        </w:tc>
        <w:tc>
          <w:tcPr>
            <w:tcW w:w="8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2,695</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BESS</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March - June 2024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2039 - 2041</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1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September 2025</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2040</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Rated MW</w:t>
            </w:r>
          </w:p>
        </w:tc>
        <w:tc>
          <w:tcPr>
            <w:tcW w:w="100" w:type="dxa"/>
            <w:vAlign w:val="bottom"/>
            <w:vMerge w:val="restart"/>
          </w:tcPr>
          <w:p>
            <w:pPr>
              <w:spacing w:after="0"/>
              <w:rPr>
                <w:sz w:val="9"/>
                <w:szCs w:val="9"/>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9"/>
                <w:szCs w:val="9"/>
                <w:color w:val="auto"/>
              </w:rPr>
            </w:pPr>
          </w:p>
        </w:tc>
        <w:tc>
          <w:tcPr>
            <w:tcW w:w="1240" w:type="dxa"/>
            <w:vAlign w:val="bottom"/>
            <w:gridSpan w:val="2"/>
          </w:tcPr>
          <w:p>
            <w:pPr>
              <w:ind w:left="280"/>
              <w:spacing w:after="0" w:line="112"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8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gridSpan w:val="2"/>
            <w:vMerge w:val="continue"/>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6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Rated MW</w:t>
            </w: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0"/>
                <w:szCs w:val="10"/>
                <w:color w:val="auto"/>
              </w:rPr>
            </w:pPr>
          </w:p>
        </w:tc>
        <w:tc>
          <w:tcPr>
            <w:tcW w:w="1160" w:type="dxa"/>
            <w:vAlign w:val="bottom"/>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80" w:type="dxa"/>
            <w:vAlign w:val="bottom"/>
          </w:tcPr>
          <w:p>
            <w:pPr>
              <w:spacing w:after="0"/>
              <w:rPr>
                <w:sz w:val="10"/>
                <w:szCs w:val="10"/>
                <w:color w:val="auto"/>
              </w:rPr>
            </w:pPr>
          </w:p>
        </w:tc>
        <w:tc>
          <w:tcPr>
            <w:tcW w:w="1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COD</w:t>
            </w:r>
          </w:p>
        </w:tc>
        <w:tc>
          <w:tcPr>
            <w:tcW w:w="21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40" w:type="dxa"/>
            <w:vAlign w:val="bottom"/>
            <w:vMerge w:val="restart"/>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0"/>
        </w:trPr>
        <w:tc>
          <w:tcPr>
            <w:tcW w:w="222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40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120" w:type="dxa"/>
            <w:vAlign w:val="bottom"/>
            <w:tcBorders>
              <w:top w:val="single" w:sz="8" w:color="auto"/>
            </w:tcBorders>
          </w:tcPr>
          <w:p>
            <w:pPr>
              <w:ind w:left="20"/>
              <w:spacing w:after="0" w:line="150"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4"/>
                <w:szCs w:val="14"/>
                <w:color w:val="auto"/>
                <w:vertAlign w:val="superscript"/>
              </w:rPr>
              <w:t>(c)</w:t>
            </w: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San Bernardino, CA</w:t>
            </w:r>
          </w:p>
        </w:tc>
        <w:tc>
          <w:tcPr>
            <w:tcW w:w="80" w:type="dxa"/>
            <w:vAlign w:val="bottom"/>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tcPr>
          <w:p>
            <w:pPr>
              <w:spacing w:after="0"/>
              <w:rPr>
                <w:sz w:val="13"/>
                <w:szCs w:val="13"/>
                <w:color w:val="auto"/>
              </w:rPr>
            </w:pPr>
          </w:p>
        </w:tc>
        <w:tc>
          <w:tcPr>
            <w:tcW w:w="1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2023</w:t>
            </w:r>
          </w:p>
        </w:tc>
        <w:tc>
          <w:tcPr>
            <w:tcW w:w="100" w:type="dxa"/>
            <w:vAlign w:val="bottom"/>
          </w:tcPr>
          <w:p>
            <w:pPr>
              <w:spacing w:after="0"/>
              <w:rPr>
                <w:sz w:val="13"/>
                <w:szCs w:val="13"/>
                <w:color w:val="auto"/>
              </w:rPr>
            </w:pPr>
          </w:p>
        </w:tc>
        <w:tc>
          <w:tcPr>
            <w:tcW w:w="2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 November 2023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2033 - 2038</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2022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Pine Forest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Hopkins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2025</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Rosamond South I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2025</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2035 - 2040</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January 2023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Utility Scale BESS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DGPV Funds </w:t>
            </w:r>
            <w:r>
              <w:rPr>
                <w:rFonts w:ascii="Times New Roman" w:cs="Times New Roman" w:eastAsia="Times New Roman" w:hAnsi="Times New Roman"/>
                <w:sz w:val="14"/>
                <w:szCs w:val="14"/>
                <w:color w:val="auto"/>
                <w:vertAlign w:val="superscript"/>
              </w:rPr>
              <w:t>(c)</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9"/>
                <w:szCs w:val="9"/>
                <w:color w:val="auto"/>
              </w:rPr>
            </w:pPr>
          </w:p>
        </w:tc>
        <w:tc>
          <w:tcPr>
            <w:tcW w:w="140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September 2015 - March</w:t>
            </w:r>
          </w:p>
        </w:tc>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2030 - 2044</w:t>
            </w:r>
          </w:p>
        </w:tc>
        <w:tc>
          <w:tcPr>
            <w:tcW w:w="0" w:type="dxa"/>
            <w:vAlign w:val="bottom"/>
          </w:tcPr>
          <w:p>
            <w:pPr>
              <w:spacing w:after="0"/>
              <w:rPr>
                <w:sz w:val="1"/>
                <w:szCs w:val="1"/>
                <w:color w:val="auto"/>
              </w:rPr>
            </w:pPr>
          </w:p>
        </w:tc>
      </w:tr>
      <w:tr>
        <w:trPr>
          <w:trHeight w:val="155"/>
        </w:trPr>
        <w:tc>
          <w:tcPr>
            <w:tcW w:w="222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2019</w:t>
            </w:r>
          </w:p>
        </w:tc>
        <w:tc>
          <w:tcPr>
            <w:tcW w:w="10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 Power Partners (SPP)</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2008 - June 2012</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2026 - 2037</w:t>
            </w:r>
          </w:p>
        </w:tc>
        <w:tc>
          <w:tcPr>
            <w:tcW w:w="0" w:type="dxa"/>
            <w:vAlign w:val="bottom"/>
          </w:tcPr>
          <w:p>
            <w:pPr>
              <w:spacing w:after="0"/>
              <w:rPr>
                <w:sz w:val="1"/>
                <w:szCs w:val="1"/>
                <w:color w:val="auto"/>
              </w:rPr>
            </w:pPr>
          </w:p>
        </w:tc>
      </w:tr>
      <w:tr>
        <w:trPr>
          <w:trHeight w:val="110"/>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Other DG Facilities</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9"/>
                <w:szCs w:val="9"/>
                <w:color w:val="auto"/>
              </w:rPr>
            </w:pPr>
          </w:p>
        </w:tc>
        <w:tc>
          <w:tcPr>
            <w:tcW w:w="140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December 2010 - October</w:t>
            </w:r>
          </w:p>
        </w:tc>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2026 - 2039</w:t>
            </w:r>
          </w:p>
        </w:tc>
        <w:tc>
          <w:tcPr>
            <w:tcW w:w="0" w:type="dxa"/>
            <w:vAlign w:val="bottom"/>
          </w:tcPr>
          <w:p>
            <w:pPr>
              <w:spacing w:after="0"/>
              <w:rPr>
                <w:sz w:val="1"/>
                <w:szCs w:val="1"/>
                <w:color w:val="auto"/>
              </w:rPr>
            </w:pPr>
          </w:p>
        </w:tc>
      </w:tr>
      <w:tr>
        <w:trPr>
          <w:trHeight w:val="151"/>
        </w:trPr>
        <w:tc>
          <w:tcPr>
            <w:tcW w:w="2220" w:type="dxa"/>
            <w:vAlign w:val="bottom"/>
            <w:tcBorders>
              <w:bottom w:val="single" w:sz="8" w:color="CCEEFF"/>
            </w:tcBorders>
            <w:gridSpan w:val="2"/>
            <w:vMerge w:val="continue"/>
          </w:tcPr>
          <w:p>
            <w:pPr>
              <w:spacing w:after="0"/>
              <w:rPr>
                <w:sz w:val="13"/>
                <w:szCs w:val="13"/>
                <w:color w:val="auto"/>
              </w:rPr>
            </w:pPr>
          </w:p>
        </w:tc>
        <w:tc>
          <w:tcPr>
            <w:tcW w:w="1680" w:type="dxa"/>
            <w:vAlign w:val="bottom"/>
            <w:tcBorders>
              <w:bottom w:val="single" w:sz="8" w:color="CCEEFF"/>
            </w:tcBorders>
            <w:gridSpan w:val="2"/>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6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2015</w:t>
            </w:r>
          </w:p>
        </w:tc>
        <w:tc>
          <w:tcPr>
            <w:tcW w:w="100" w:type="dxa"/>
            <w:vAlign w:val="bottom"/>
            <w:tcBorders>
              <w:bottom w:val="single" w:sz="8" w:color="CCEEFF"/>
            </w:tcBorders>
          </w:tcPr>
          <w:p>
            <w:pPr>
              <w:spacing w:after="0"/>
              <w:rPr>
                <w:sz w:val="13"/>
                <w:szCs w:val="13"/>
                <w:color w:val="auto"/>
              </w:rPr>
            </w:pPr>
          </w:p>
        </w:tc>
        <w:tc>
          <w:tcPr>
            <w:tcW w:w="2180" w:type="dxa"/>
            <w:vAlign w:val="bottom"/>
            <w:tcBorders>
              <w:bottom w:val="single" w:sz="8" w:color="CCEEFF"/>
            </w:tcBorders>
            <w:gridSpan w:val="2"/>
            <w:vMerge w:val="continue"/>
          </w:tcPr>
          <w:p>
            <w:pPr>
              <w:spacing w:after="0"/>
              <w:rPr>
                <w:sz w:val="13"/>
                <w:szCs w:val="13"/>
                <w:color w:val="auto"/>
              </w:rPr>
            </w:pPr>
          </w:p>
        </w:tc>
        <w:tc>
          <w:tcPr>
            <w:tcW w:w="104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Total Distributed Solar</w:t>
            </w: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II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III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IV</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V</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2011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X</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XI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Mineral and Grant Counties, WV</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Toyota and Google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Broken Bow</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Custer County, NE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2012</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Buffalo Bear</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Buffalo, OK</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2008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Cedar Creek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Bingham County, ID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March 2024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2049</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Cedro Hill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Webb County,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October - December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CPS Energy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2045</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Crofton Bluffs</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Knox County, NE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2012</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Dan’s Mountain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Allegany County, MD</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May 2025</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Constellation Energy Generation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2037</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Howard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2019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Elkhorn Ridge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Bloomfield,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66.7 %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2009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Forward</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Berlin, 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Axpo US LLC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Goat Mountain</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Sterling City,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April 2008 - June 2009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Dow Pipeline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Christoval,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Goldman Sachs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Laredo Ridge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Petersburg,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Lookout</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Berlin, 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Maryland Electric Cooperative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Callahan County,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2033 - 2036</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Fisher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2032 - 2035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Mountain Wind 1</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Uinta County, WY</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2008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Mountain Wind 2</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Uinta County, WY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September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4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Ocotillo</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Forsan,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2"/>
                <w:szCs w:val="1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2023</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7"/>
        </w:trPr>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80"/>
              <w:spacing w:after="0" w:line="123" w:lineRule="exact"/>
              <w:rPr>
                <w:sz w:val="20"/>
                <w:szCs w:val="20"/>
                <w:color w:val="auto"/>
              </w:rPr>
            </w:pPr>
            <w:r>
              <w:rPr>
                <w:rFonts w:ascii="Times New Roman" w:cs="Times New Roman" w:eastAsia="Times New Roman" w:hAnsi="Times New Roman"/>
                <w:sz w:val="13"/>
                <w:szCs w:val="13"/>
                <w:b w:val="1"/>
                <w:bCs w:val="1"/>
                <w:color w:val="auto"/>
                <w:w w:val="96"/>
              </w:rPr>
              <w:t>Rated</w:t>
            </w: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0"/>
                <w:szCs w:val="10"/>
                <w:color w:val="auto"/>
              </w:rPr>
            </w:pPr>
          </w:p>
        </w:tc>
        <w:tc>
          <w:tcPr>
            <w:tcW w:w="1240" w:type="dxa"/>
            <w:vAlign w:val="bottom"/>
            <w:gridSpan w:val="2"/>
          </w:tcPr>
          <w:p>
            <w:pPr>
              <w:ind w:left="260"/>
              <w:spacing w:after="0" w:line="123"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MW</w:t>
            </w: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260" w:type="dxa"/>
            <w:vAlign w:val="bottom"/>
            <w:vMerge w:val="restart"/>
          </w:tcPr>
          <w:p>
            <w:pPr>
              <w:spacing w:after="0"/>
              <w:rPr>
                <w:sz w:val="10"/>
                <w:szCs w:val="10"/>
                <w:color w:val="auto"/>
              </w:rPr>
            </w:pPr>
          </w:p>
        </w:tc>
        <w:tc>
          <w:tcPr>
            <w:tcW w:w="1560" w:type="dxa"/>
            <w:vAlign w:val="bottom"/>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00" w:type="dxa"/>
            <w:vAlign w:val="bottom"/>
            <w:vMerge w:val="restart"/>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6"/>
              </w:rPr>
              <w:t>Rated</w:t>
            </w:r>
          </w:p>
        </w:tc>
        <w:tc>
          <w:tcPr>
            <w:tcW w:w="8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0"/>
                <w:szCs w:val="10"/>
                <w:color w:val="auto"/>
              </w:rPr>
            </w:pPr>
          </w:p>
        </w:tc>
        <w:tc>
          <w:tcPr>
            <w:tcW w:w="1140" w:type="dxa"/>
            <w:vAlign w:val="bottom"/>
            <w:tcBorders>
              <w:top w:val="single" w:sz="8" w:color="auto"/>
            </w:tcBorders>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00" w:type="dxa"/>
            <w:vAlign w:val="bottom"/>
          </w:tcPr>
          <w:p>
            <w:pPr>
              <w:spacing w:after="0"/>
              <w:rPr>
                <w:sz w:val="10"/>
                <w:szCs w:val="10"/>
                <w:color w:val="auto"/>
              </w:rPr>
            </w:pPr>
          </w:p>
        </w:tc>
        <w:tc>
          <w:tcPr>
            <w:tcW w:w="126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COD</w:t>
            </w:r>
          </w:p>
        </w:tc>
        <w:tc>
          <w:tcPr>
            <w:tcW w:w="100" w:type="dxa"/>
            <w:vAlign w:val="bottom"/>
            <w:vMerge w:val="restart"/>
          </w:tcPr>
          <w:p>
            <w:pPr>
              <w:spacing w:after="0"/>
              <w:rPr>
                <w:sz w:val="10"/>
                <w:szCs w:val="10"/>
                <w:color w:val="auto"/>
              </w:rPr>
            </w:pPr>
          </w:p>
        </w:tc>
        <w:tc>
          <w:tcPr>
            <w:tcW w:w="2040" w:type="dxa"/>
            <w:vAlign w:val="bottom"/>
            <w:tcBorders>
              <w:top w:val="single" w:sz="8" w:color="auto"/>
            </w:tcBorders>
            <w:vMerge w:val="restart"/>
          </w:tcPr>
          <w:p>
            <w:pPr>
              <w:ind w:left="6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vMerge w:val="restart"/>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0"/>
        </w:trPr>
        <w:tc>
          <w:tcPr>
            <w:tcW w:w="20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MW</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4"/>
                <w:szCs w:val="14"/>
                <w:color w:val="auto"/>
                <w:vertAlign w:val="superscript"/>
              </w:rPr>
              <w:t>(c)</w:t>
            </w: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Keyser, WV</w:t>
            </w:r>
          </w:p>
        </w:tc>
        <w:tc>
          <w:tcPr>
            <w:tcW w:w="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8"/>
                <w:szCs w:val="8"/>
                <w:color w:val="auto"/>
              </w:rPr>
            </w:pPr>
          </w:p>
        </w:tc>
        <w:tc>
          <w:tcPr>
            <w:tcW w:w="1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2021</w:t>
            </w:r>
          </w:p>
        </w:tc>
        <w:tc>
          <w:tcPr>
            <w:tcW w:w="2040" w:type="dxa"/>
            <w:vAlign w:val="bottom"/>
            <w:shd w:val="clear" w:color="auto" w:fill="CCEEFF"/>
          </w:tcPr>
          <w:p>
            <w:pPr>
              <w:ind w:left="20"/>
              <w:spacing w:after="0" w:line="101" w:lineRule="exact"/>
              <w:rPr>
                <w:sz w:val="20"/>
                <w:szCs w:val="20"/>
                <w:color w:val="auto"/>
              </w:rPr>
            </w:pPr>
            <w:r>
              <w:rPr>
                <w:rFonts w:ascii="Times New Roman" w:cs="Times New Roman" w:eastAsia="Times New Roman" w:hAnsi="Times New Roman"/>
                <w:sz w:val="11"/>
                <w:szCs w:val="11"/>
                <w:color w:val="auto"/>
              </w:rPr>
              <w:t>Maryland Department of General Services</w:t>
            </w:r>
          </w:p>
        </w:tc>
        <w:tc>
          <w:tcPr>
            <w:tcW w:w="100" w:type="dxa"/>
            <w:vAlign w:val="bottom"/>
            <w:shd w:val="clear" w:color="auto" w:fill="CCEEFF"/>
          </w:tcPr>
          <w:p>
            <w:pPr>
              <w:spacing w:after="0"/>
              <w:rPr>
                <w:sz w:val="8"/>
                <w:szCs w:val="8"/>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55"/>
        </w:trPr>
        <w:tc>
          <w:tcPr>
            <w:tcW w:w="2340" w:type="dxa"/>
            <w:vAlign w:val="bottom"/>
            <w:gridSpan w:val="2"/>
            <w:vMerge w:val="continue"/>
            <w:shd w:val="clear" w:color="auto" w:fill="CCEEFF"/>
          </w:tcPr>
          <w:p>
            <w:pPr>
              <w:spacing w:after="0"/>
              <w:rPr>
                <w:sz w:val="13"/>
                <w:szCs w:val="13"/>
                <w:color w:val="auto"/>
              </w:rPr>
            </w:pPr>
          </w:p>
        </w:tc>
        <w:tc>
          <w:tcPr>
            <w:tcW w:w="166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continue"/>
            <w:shd w:val="clear" w:color="auto" w:fill="CCEEFF"/>
          </w:tcPr>
          <w:p>
            <w:pPr>
              <w:spacing w:after="0"/>
              <w:rPr>
                <w:sz w:val="13"/>
                <w:szCs w:val="13"/>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and University System of Maryland</w:t>
            </w: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4"/>
                <w:szCs w:val="14"/>
                <w:color w:val="auto"/>
                <w:vertAlign w:val="superscript"/>
              </w:rPr>
              <w:t>(c) (e)</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Ritzville, WA</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2020</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Avista Corporation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 Juan Mesa</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Elida, NM</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2005</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0" w:type="dxa"/>
            <w:vAlign w:val="bottom"/>
          </w:tcPr>
          <w:p>
            <w:pPr>
              <w:spacing w:after="0"/>
              <w:rPr>
                <w:sz w:val="1"/>
                <w:szCs w:val="1"/>
                <w:color w:val="auto"/>
              </w:rPr>
            </w:pP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Sleeping Bear</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Woodward, OK</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October 2007</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Public Service Company of Oklahoma</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 Trent</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Sweetwater, TX</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January 2009</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Spanish Fork</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Spanish Fork, UT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July 2008</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2028</w:t>
            </w:r>
          </w:p>
        </w:tc>
        <w:tc>
          <w:tcPr>
            <w:tcW w:w="0" w:type="dxa"/>
            <w:vAlign w:val="bottom"/>
          </w:tcPr>
          <w:p>
            <w:pPr>
              <w:spacing w:after="0"/>
              <w:rPr>
                <w:sz w:val="1"/>
                <w:szCs w:val="1"/>
                <w:color w:val="auto"/>
              </w:rPr>
            </w:pP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Spring Canyon II</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Logan County, CO</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October 2014</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Spring Canyon III</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Logan County, CO</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2014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Taloga</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Putnam, OK</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2011</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Tuolumne</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Klickitat County, WA</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2009</w:t>
            </w:r>
          </w:p>
        </w:tc>
        <w:tc>
          <w:tcPr>
            <w:tcW w:w="100" w:type="dxa"/>
            <w:vAlign w:val="bottom"/>
          </w:tcPr>
          <w:p>
            <w:pPr>
              <w:spacing w:after="0"/>
              <w:rPr>
                <w:sz w:val="13"/>
                <w:szCs w:val="1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Turlock Irrigation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116"/>
        </w:trPr>
        <w:tc>
          <w:tcPr>
            <w:tcW w:w="2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4"/>
                <w:szCs w:val="14"/>
                <w:color w:val="auto"/>
                <w:vertAlign w:val="superscript"/>
              </w:rPr>
              <w:t>(c)</w:t>
            </w: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Vega, TX</w:t>
            </w:r>
          </w:p>
        </w:tc>
        <w:tc>
          <w:tcPr>
            <w:tcW w:w="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December 2019 - January</w:t>
            </w:r>
          </w:p>
        </w:tc>
        <w:tc>
          <w:tcPr>
            <w:tcW w:w="2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0" w:type="dxa"/>
            <w:vAlign w:val="bottom"/>
          </w:tcPr>
          <w:p>
            <w:pPr>
              <w:spacing w:after="0"/>
              <w:rPr>
                <w:sz w:val="1"/>
                <w:szCs w:val="1"/>
                <w:color w:val="auto"/>
              </w:rPr>
            </w:pPr>
          </w:p>
        </w:tc>
      </w:tr>
      <w:tr>
        <w:trPr>
          <w:trHeight w:val="160"/>
        </w:trPr>
        <w:tc>
          <w:tcPr>
            <w:tcW w:w="2340" w:type="dxa"/>
            <w:vAlign w:val="bottom"/>
            <w:gridSpan w:val="2"/>
            <w:vMerge w:val="continue"/>
            <w:shd w:val="clear" w:color="auto" w:fill="CCEEFF"/>
          </w:tcPr>
          <w:p>
            <w:pPr>
              <w:spacing w:after="0"/>
              <w:rPr>
                <w:sz w:val="13"/>
                <w:szCs w:val="13"/>
                <w:color w:val="auto"/>
              </w:rPr>
            </w:pPr>
          </w:p>
        </w:tc>
        <w:tc>
          <w:tcPr>
            <w:tcW w:w="1660" w:type="dxa"/>
            <w:vAlign w:val="bottom"/>
            <w:gridSpan w:val="2"/>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shd w:val="clear" w:color="auto" w:fill="CCEEFF"/>
          </w:tcPr>
          <w:p>
            <w:pPr>
              <w:spacing w:after="0"/>
              <w:rPr>
                <w:sz w:val="13"/>
                <w:szCs w:val="13"/>
                <w:color w:val="auto"/>
              </w:rPr>
            </w:pPr>
          </w:p>
        </w:tc>
        <w:tc>
          <w:tcPr>
            <w:tcW w:w="214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tcBorders>
              <w:bottom w:val="single" w:sz="8" w:color="CCEEFF"/>
            </w:tcBorders>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1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4,234</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3,708</w:t>
            </w: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Clearway Energy LLC</w:t>
            </w:r>
          </w:p>
        </w:tc>
        <w:tc>
          <w:tcPr>
            <w:tcW w:w="1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12,942</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9,842</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Net capacity represents the maximum, or rated, generating capacity or storage capacity of the facility multiplied by the Company’s percentage ownership in the facility as of December 31, 2025.</w:t>
      </w:r>
    </w:p>
    <w:p>
      <w:pPr>
        <w:spacing w:after="0" w:line="34"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The primary fuel type for these facilities is natural gas, with the exception of GenConn Devon and GenConn Middletown, which also use oil.</w:t>
      </w:r>
    </w:p>
    <w:p>
      <w:pPr>
        <w:spacing w:after="0" w:line="56" w:lineRule="exact"/>
        <w:rPr>
          <w:rFonts w:ascii="Times New Roman" w:cs="Times New Roman" w:eastAsia="Times New Roman" w:hAnsi="Times New Roman"/>
          <w:sz w:val="14"/>
          <w:szCs w:val="14"/>
          <w:color w:val="auto"/>
          <w:vertAlign w:val="superscript"/>
        </w:rPr>
      </w:pPr>
    </w:p>
    <w:p>
      <w:pPr>
        <w:ind w:left="180" w:hanging="111"/>
        <w:spacing w:after="0" w:line="212" w:lineRule="auto"/>
        <w:tabs>
          <w:tab w:leader="none" w:pos="18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Facilities are part of tax equity arrangements, as further described in Item 15 </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Note 2, </w:t>
      </w:r>
      <w:r>
        <w:rPr>
          <w:rFonts w:ascii="Times New Roman" w:cs="Times New Roman" w:eastAsia="Times New Roman" w:hAnsi="Times New Roman"/>
          <w:sz w:val="10"/>
          <w:szCs w:val="10"/>
          <w:i w:val="1"/>
          <w:iCs w:val="1"/>
          <w:color w:val="auto"/>
        </w:rPr>
        <w:t>Summary of Significant Accounting Policies</w:t>
      </w:r>
      <w:r>
        <w:rPr>
          <w:rFonts w:ascii="Times New Roman" w:cs="Times New Roman" w:eastAsia="Times New Roman" w:hAnsi="Times New Roman"/>
          <w:sz w:val="10"/>
          <w:szCs w:val="10"/>
          <w:color w:val="auto"/>
        </w:rPr>
        <w:t xml:space="preserve">, and Note 5, </w:t>
      </w:r>
      <w:r>
        <w:rPr>
          <w:rFonts w:ascii="Times New Roman" w:cs="Times New Roman" w:eastAsia="Times New Roman" w:hAnsi="Times New Roman"/>
          <w:sz w:val="10"/>
          <w:szCs w:val="10"/>
          <w:i w:val="1"/>
          <w:iCs w:val="1"/>
          <w:color w:val="auto"/>
        </w:rPr>
        <w:t>Investments Accounted for by the Equity Method and Variable Interest Entities</w:t>
      </w:r>
      <w:r>
        <w:rPr>
          <w:rFonts w:ascii="Times New Roman" w:cs="Times New Roman" w:eastAsia="Times New Roman" w:hAnsi="Times New Roman"/>
          <w:sz w:val="10"/>
          <w:szCs w:val="10"/>
          <w:color w:val="auto"/>
        </w:rPr>
        <w:t>.</w:t>
      </w:r>
    </w:p>
    <w:p>
      <w:pPr>
        <w:spacing w:after="0" w:line="27"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The Company leases 100% of the interests in the Catalina solar facility through a facility lease agreement that expires in October 2043.</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line="200" w:lineRule="auto"/>
        <w:tabs>
          <w:tab w:leader="none" w:pos="18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Rattlesnake has a deliverable capacity of 144 MW.</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Item 3 — Legal Proceedings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55" w:right="1440" w:bottom="1440" w:gutter="0" w:footer="0" w:header="0"/>
        </w:sectPr>
      </w:pPr>
    </w:p>
    <w:bookmarkStart w:id="40" w:name="page41"/>
    <w:bookmarkEnd w:id="40"/>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and Holders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the date of this report, there is no publicly-traded market for the Company’s membership units. All of the Company’s Class A and Class C units are held by Clearway, Inc. and all of the Company’s Class B and Class D units are held by CEG.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distributions paid on the Company’s Class A, Class B, Class C and Class D units during the year ended December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2025</w:t>
            </w: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2025</w:t>
            </w:r>
          </w:p>
        </w:tc>
        <w:tc>
          <w:tcPr>
            <w:tcW w:w="12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2025</w:t>
            </w:r>
          </w:p>
        </w:tc>
        <w:tc>
          <w:tcPr>
            <w:tcW w:w="140" w:type="dxa"/>
            <w:vAlign w:val="bottom"/>
          </w:tcPr>
          <w:p>
            <w:pPr>
              <w:spacing w:after="0"/>
              <w:rPr>
                <w:sz w:val="13"/>
                <w:szCs w:val="13"/>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First Quarter 2025</w:t>
            </w:r>
          </w:p>
        </w:tc>
      </w:tr>
      <w:tr>
        <w:trPr>
          <w:trHeight w:val="180"/>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0.4312</w:t>
            </w:r>
          </w:p>
        </w:tc>
      </w:tr>
      <w:tr>
        <w:trPr>
          <w:trHeight w:val="18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0.4312</w:t>
            </w:r>
          </w:p>
        </w:tc>
      </w:tr>
    </w:tbl>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In addition to the quarterly distributions, on June 10, 2025, the Company distributed an additional $16 million, $9 million of which was distributed to Clearway, Inc. in relation to its contribution through Pine Forest TE Class A, an indirect subsidiary of Clearway, Inc., to acquire the Class A membership interests in Pine Forest TE HoldCo LLC,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and $7 million of which was distributed to CEG, which represents CEG’s pro-rata share of the additional distributions. On December 17, 2025,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distributed an additional $28 million, $16 million of which was distributed to Clearway, Inc. in relation to its additional contribution through Pine Forest TE Class A to complete its acquisition of the Class A membership interests in Pine Forest TE HoldCo LLC,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and $12 million of which was distributed to CEG, which represents CEG’s pro-rata share of the additional distributions.</w:t>
      </w:r>
    </w:p>
    <w:p>
      <w:pPr>
        <w:spacing w:after="0" w:line="103" w:lineRule="exact"/>
        <w:rPr>
          <w:sz w:val="20"/>
          <w:szCs w:val="20"/>
          <w:color w:val="auto"/>
        </w:rPr>
      </w:pPr>
    </w:p>
    <w:p>
      <w:pPr>
        <w:ind w:right="1420" w:firstLine="318"/>
        <w:spacing w:after="0" w:line="477" w:lineRule="auto"/>
        <w:rPr>
          <w:sz w:val="20"/>
          <w:szCs w:val="20"/>
          <w:color w:val="auto"/>
        </w:rPr>
      </w:pPr>
      <w:r>
        <w:rPr>
          <w:rFonts w:ascii="Times New Roman" w:cs="Times New Roman" w:eastAsia="Times New Roman" w:hAnsi="Times New Roman"/>
          <w:sz w:val="14"/>
          <w:szCs w:val="14"/>
          <w:color w:val="auto"/>
        </w:rPr>
        <w:t xml:space="preserve">On February 17, 2026, the Company declared a quarterly distribution on its Class A, Class B, Class C and Class D units of $0.4602 per unit payable on March 16, 2026. </w:t>
      </w:r>
      <w:r>
        <w:rPr>
          <w:rFonts w:ascii="Times New Roman" w:cs="Times New Roman" w:eastAsia="Times New Roman" w:hAnsi="Times New Roman"/>
          <w:sz w:val="14"/>
          <w:szCs w:val="14"/>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 xml:space="preserve">Item 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Management’s Discussion and Analysis of Financial Condition and the Results of Operations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you read this discussion and analysis, refer to the Company’s Consolidated Statements of Operations to this Form 10-K. Also refer to Item 1 —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which include detailed discussions of various items impacting the Company’s business, results of operations and financial condition. Discussions of the year ended December 31, 2023 that are not included in this Annual Report on Form 10-K and year-to-year comparisons of the year ended December 31, 2024 and the year ended December 31, 2023 can be found in “Management’s Discussion and Analysis of Financial Condition and the Results of Operations” in Part II, Item 7 of the Company’s Annual Report on Form 10-K for the year ended December 31, 2024.</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operations;</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auto"/>
        </w:rPr>
      </w:pPr>
    </w:p>
    <w:p>
      <w:pPr>
        <w:ind w:left="1020" w:right="220" w:hanging="251"/>
        <w:spacing w:after="0" w:line="287" w:lineRule="auto"/>
        <w:tabs>
          <w:tab w:leader="none" w:pos="10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w:t>
      </w:r>
    </w:p>
    <w:p>
      <w:pPr>
        <w:spacing w:after="0" w:line="8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unit holders with stable and growing distributions.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 Company’s Renewables &amp; Storage segment offtake agreements was approximately 12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December 31, 2025 </w:t>
      </w:r>
      <w:r>
        <w:rPr>
          <w:rFonts w:ascii="Times New Roman" w:cs="Times New Roman" w:eastAsia="Times New Roman" w:hAnsi="Times New Roman"/>
          <w:sz w:val="14"/>
          <w:szCs w:val="14"/>
          <w:color w:val="231F20"/>
        </w:rPr>
        <w:t>based on CAFD.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Third-Party Acquisitions</w:t>
      </w:r>
    </w:p>
    <w:p>
      <w:pPr>
        <w:spacing w:after="0" w:line="138" w:lineRule="exact"/>
        <w:rPr>
          <w:sz w:val="20"/>
          <w:szCs w:val="20"/>
          <w:color w:val="auto"/>
        </w:rPr>
      </w:pPr>
    </w:p>
    <w:p>
      <w:pPr>
        <w:jc w:val="both"/>
        <w:ind w:left="520" w:hanging="260"/>
        <w:spacing w:after="0" w:line="258"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 2025, the Company entered into a binding agreement to acquire a 613 MW operational solar portfolio located in eight states, or the Deriva Solar Portfolio, from Deriva Energy, LLC for a base purchase price of approximately $305 million in cash, subject to certain customary price adjustments. For 12 facilities in the Deriva Solar Portfolio located in the Western U.S. and comprising of 227 MW, the Company will co-invest in a 50/50 joint venture with a third-party cash equity investor. The weighted average remaining contract duration of the Deriva Solar Portfolio is approximately 10 years. After factoring in estimated closing adjustments and proceeds from facility-level financings, including the third-party cash equity investor in a subset of the Deriva Solar Portfolio, the Company expects its net capital commitment to acquire the Deriva Solar Portfolio to be between $210 million and $230 million. The Company expects to fund the acquisition primarily utilizing existing sources of liquidity, which includes the Cardinal Investment Holdco LLC financing discussed further below. The consummation of the transaction is subject to customary closing conditions and certain third-party approvals and is expected to occur in the first half of 2026.</w:t>
      </w:r>
    </w:p>
    <w:p>
      <w:pPr>
        <w:spacing w:after="0" w:line="10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July 16, 2025, the Company, through its indirect subsidiary, Catalina Solar Investment LLC, acquired Catalina Solar Lessee Holdco LLC, which leases and operates the Catalina solar facility, for approximately $127 million, which excludes $1 million in transaction expenses incurred in connection with the acquisition. After factoring in cash reserves acquired and transaction expenses, the Company’s net capital investment in Catalina was $128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29, 2025, the Company, through its indirect subsidiary, Washington Wind LLC, acquired the Tuolumne wind facility from an investment-grade regulated entity for approximately $210 million, which excludes $1 million in transaction expenses incurred in connection with the acquisition. The Company’s net capital investment in Tuolumne was $59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for further discussion of the transaction. In connection with the acquisition, the Company entered into a development services agreement with Clearway Renew related to a potential repowering of the facility. In February 2026, the Company approved the commencement of the Tuolumne repowering. The Company estimates that its total capital investment in the Tuolumne repowering will be $80 million, subject to closing adjustments. Contingent upon achieving commercial operations in 2027, the 137 MW facility will sell power under its existing PPA with an investment-grade regulated entity for an additional two years through 2042.</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57" w:lineRule="auto"/>
        <w:tabs>
          <w:tab w:leader="none" w:pos="516"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 xml:space="preserve">On June 10, 2025, the Company, through its indirect subsidiary, Pine Forest CE Class A Owner LLC, acquired the Class A membership interests in Pine Forest CE TargetCo LLC, or Pine Forest TargetCo, a partnership and the indirect owner of the Pine Forest solar and BESS facility, from Clearway Renew for initial cash consideration of $18 million. Simultaneously, a third-party cash equity investor acquired the Class B membership interests in Pine Forest TargetCo from Clearway Renew for initial cash consideration of $36 million. Also on June 10, 2025, Clearway, Inc., through its indirect subsidiary, Pine Forest TE Class A Owner LLC, or Pine Forest TE Class A, contributed $9 million to acquire the Class A membership interests in Pine Forest TE HoldCo LLC. On December 17, 2025, when the facility reached substantial completion, the Company paid $50 million to Clearway Renew as additional purchase price for its Class A membership interests in Pine Forest TargetCo and Clearway, Inc., through Pine Forest TE Class A, contributed an additional $38 million for its Class A membership interests in Pine Forest TE HoldCo LLC. In addition, the third-party cash equity investor in Pine Forest TargetCo contributed an additional $144 million. The Company’s total capital investment in Pine Forest TargetCo was $68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106" w:lineRule="exact"/>
        <w:rPr>
          <w:rFonts w:ascii="Times New Roman" w:cs="Times New Roman" w:eastAsia="Times New Roman" w:hAnsi="Times New Roman"/>
          <w:sz w:val="14"/>
          <w:szCs w:val="14"/>
          <w:i w:val="1"/>
          <w:iCs w:val="1"/>
          <w:color w:val="auto"/>
        </w:rPr>
      </w:pPr>
    </w:p>
    <w:p>
      <w:pPr>
        <w:jc w:val="both"/>
        <w:ind w:left="520" w:hanging="260"/>
        <w:spacing w:after="0" w:line="26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July 23, 2025, the Company entered into a development services agreement with Clearway Renew in connection with the repowering of the Goat Mountain wind facility. The Company estimates that its total capital investment in the Goat Mountain repowering will be $200 million, subject to closing adjustments. Contingent upon achieving commercial operations in 2027, the 360 MW facility will sell power to an investment-grade counterparty under a new 15-year PPA. In connection with the agreement, on December 12, 2025, the Company paid Clearway Renew $27 million, primarily related to the future delivery of equipment. See Note 13,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for further discussion of the transaction.</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24, 2025, the Company, through an indirect subsidiary, entered into an agreement with Clearway Renew to acquire the Class A membership interests in Spindle, a 199 MW BESS facility currently under construction in Weld County, Colorado, and Rosamond South II, a 92 MW BESS facility currently under construction in Kern County, California, for $93 million in cash consideration, subject to closing adjustments. The consummation of the transaction is subject to customary closing conditions and certain third-party approvals and is expected in the second half of 2026.</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30, 2025, the Company entered into a development services agreement with Clearway Renew in connection with the repowering of the San Juan Mesa wind facility, which is located in Elida, New Mexico. The Company estimates that its total capital investment in the San Juan Mesa repowering will be $50 million, subject to closing adjustments. Contingent upon achieving commercial operations in 2027, the 135 MW facility will sell power to an investment-grade counterparty under a new 20-year PPA.</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15, 2025, the Company, through its indirect subsidiary, Honeycomb 1 Holdco LLC, acquired Honeycomb TargetCo LLC, or Honeycomb TargetCo, the indirect owner of the Honeycomb Portfolio, from Clearway Renew for initial cash consideration of $16 million. At substantial completion, which is expected to occur in the first half of 2026, the Company estimates it will pay an additional $62 million to Clearway Renew. The Company estimates that its total capital investment in Honeycomb TargetCo will be $78 million, excluding the impact of any closing adjustments noted in the purchase agreement.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5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2, 2025, the Company, through its indirect subsidiary, WV Wind Holdco LLC, sold 100% of its membership interests in Mount Storm Wind LLC, which owns Mt. Storm,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 The consummation of the transaction is subject to customary closing conditions and certain third-party approvals and is expected to occur in the second half of 2026.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Dispositions</w:t>
      </w:r>
      <w:r>
        <w:rPr>
          <w:rFonts w:ascii="Times New Roman" w:cs="Times New Roman" w:eastAsia="Times New Roman" w:hAnsi="Times New Roman"/>
          <w:sz w:val="14"/>
          <w:szCs w:val="14"/>
          <w:color w:val="auto"/>
        </w:rPr>
        <w:t>, for further discussion of the transactions. In connection with the agreement with Clearway Renew to sell its membership interests in Mt. Storm, on May 1, 2025,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bought down a portion of Mt. Storm’s contract to sell power to a counterparty through a hedge agreement and paid approximately $35 million to the hedge counterparty to reduce the contract by approximately 50%. On July 22, 2025, the Company paid approximately $39 million to the hedge counterparty to buy out the remaining contract.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4" w:name="page45"/>
    <w:bookmarkEnd w:id="44"/>
    <w:p>
      <w:pPr>
        <w:jc w:val="both"/>
        <w:ind w:left="520" w:hanging="260"/>
        <w:spacing w:after="0" w:line="26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29, 2025, the Company, through its indirect subsidiary, LV-Daggett Parent Holdco LLC, acquired Daggett 1 Class B Member LLC, or Daggett 1 Class B, the indirect owner of the Daggett 1 BESS facility, from Clearway Renew for initial cash consideration of $11 million. On September 19, 2025, when the facility reached substantial completion, the Company paid $42 million to Clearway Renew as additional purchase price. On October 15, 2025, the Company paid $4 million to Clearway Renew as a final purchase price adjustment. The Company’s total capital investment in Daggett 1 Class B was $57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29, 2025, the Company, through its indirect subsidiary, LV-Daggett Parent Holdco LLC, acquired Luna Valley Class B Member LLC, or Luna Valley Class B, the indirect owner of the Luna Valley solar facility, from Clearway Renew for initial cash consideration of $18 million. On September 4, 2025, when the facility reached substantial completion, the Company paid $72 million to Clearway Renew as additional purchase price. On October 15, 2025, the Company paid $29 million to Clearway Renew as a final purchase price adjustment. The Company's total capital investment in Luna Valley Class B was $119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March 20, 2025, the Company, through its indirect subsidiary, Rosamond South Investment LLC, acquired the Class A membership interests in Rosie South TargetCo LLC, or Rosie South TargetCo, a partnership and the indirect owner of the Rosamond South I solar and BESS facility, from Clearway Renew for initial cash consideration of $4 million. Simultaneously, a third-party cash equity investor acquired the Class B membership interests in Rosie South TargetCo from Clearway Renew for initial cash consideration of $10 million. On August 13, 2025, when the facility reached substantial completion, the Company paid $29 million to Clearway Renew as additional purchase price and the third-party cash equity investor contributed an additional $41 million. The Company’s total capital investment in Rosie South TargetCo was $33 million.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 Agreements</w:t>
      </w:r>
    </w:p>
    <w:p>
      <w:pPr>
        <w:spacing w:after="0" w:line="138" w:lineRule="exact"/>
        <w:rPr>
          <w:sz w:val="20"/>
          <w:szCs w:val="20"/>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in December 2029. El Segundo is now contracted for 100% of its capacity through 2027 and approximately 50% of its capacity through 2028.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38" w:lineRule="exact"/>
        <w:rPr>
          <w:sz w:val="20"/>
          <w:szCs w:val="20"/>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connection with the 2025 Drop Downs of Rosamond South I, Luna Valley, Daggett 1, Pine Forest and the Honeycomb Portfolio, the Company assumed non-recourse facility-level debt.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facility-level debt associated with each facility.</w:t>
      </w:r>
    </w:p>
    <w:p>
      <w:pPr>
        <w:spacing w:after="0" w:line="81" w:lineRule="exact"/>
        <w:rPr>
          <w:rFonts w:ascii="Times New Roman" w:cs="Times New Roman" w:eastAsia="Times New Roman" w:hAnsi="Times New Roman"/>
          <w:sz w:val="14"/>
          <w:szCs w:val="14"/>
          <w:b w:val="1"/>
          <w:bCs w:val="1"/>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5, 2026, in order to partially fund the third-party acquisition of the Deriva Solar Portfolio, the Company, through its indirect subsidiary, Cardinal Investment Holdco LLC, entered into a financing agreement that provides for a term loan of up to $100 million and $119 million in letters of credit in support of debt service and facility obligations. Upon funding, the term loan will bear interest a rate of SOFR plus 2.00% per annum and will mature 364 days after the funding date.</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January 13, 2026, Clearway Energy Operating LLC completed the sale of $600 million aggregate principal amount of 5.75% senior unsecured notes due 2034, or the 2034 Senior Notes.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further discussion of the 2034 Senior Notes.</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May 21, 2025, when the Dan’s Mountain wind facility reached substantial completion, the Company paid $36 million to Clearway Renew as additional purchase price in connection with the Company’s acquisition of the Class A membership interests in Dan’s Mountain TargetCo LLC, or Dan’s Mountain TargetCo, from Clearway Renew on November 18, 2024. Also, on May 21, 2025, a third-party cash equity investor contributed $45 million to acquire the Class B membership interests in Dan’s Mountain TargetCo from Clearway Renew and the tax equity investor contributed an additional $90 million. The Company utilized the combined proceeds to repay the cash equity bridge loan, to repay the tax equity bridge loan and to pay associated fees with the remaining proceeds distributed to CEG. The Company’s total capital investment in Dan’s Mountain TargetCo was $43 million.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further discussion of the transaction.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jc w:val="both"/>
        <w:ind w:left="520" w:hanging="260"/>
        <w:spacing w:after="0" w:line="28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29, 2025, in order to partially fund the third-party acquisition of the Tuolumne wind facility, the Company entered into a financing agreement, which included the issuance of a $163 million term loan, as well as $22 million in letters of credit in support of debt service and facility obligations.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further discussion of the financing agreement.</w:t>
      </w:r>
    </w:p>
    <w:p>
      <w:pPr>
        <w:spacing w:after="0" w:line="26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9, 2025, the Company, through its indirect subsidiary, Buckthorn Solar Portfolio LLC, refinanced its credit agreement, which was scheduled to mature in May 2025, resulting in the issuance of a $104 million term loan facility, as well as $22 million in letters of credit in support of debt service and facility obligations. The Company utilized the proceeds from the term loan and existing sources of liquidity to pay off the existing debt.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refinanced credit agreement.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 and Regulatory Matters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Details of environmental matters and regulatory matters are presented in Item 1 — </w:t>
      </w:r>
      <w:r>
        <w:rPr>
          <w:rFonts w:ascii="Times New Roman" w:cs="Times New Roman" w:eastAsia="Times New Roman" w:hAnsi="Times New Roman"/>
          <w:sz w:val="14"/>
          <w:szCs w:val="14"/>
          <w:i w:val="1"/>
          <w:iCs w:val="1"/>
          <w:color w:val="auto"/>
        </w:rPr>
        <w:t>Business, Regulatory Matters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Details of some of this information relate to costs that may impact the Company’s financial results.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7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Pr>
          <w:p>
            <w:pPr>
              <w:spacing w:after="0"/>
              <w:rPr>
                <w:sz w:val="11"/>
                <w:szCs w:val="11"/>
                <w:color w:val="auto"/>
              </w:rPr>
            </w:pPr>
          </w:p>
        </w:tc>
        <w:tc>
          <w:tcPr>
            <w:tcW w:w="840" w:type="dxa"/>
            <w:vAlign w:val="bottom"/>
          </w:tcPr>
          <w:p>
            <w:pPr>
              <w:jc w:val="right"/>
              <w:ind w:right="356"/>
              <w:spacing w:after="0" w:line="133"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356"/>
              <w:spacing w:after="0" w:line="133"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356"/>
              <w:spacing w:after="0" w:line="133"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Operating Revenues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Energy and capacity revenues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revenues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Contract amortization</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8"/>
        </w:trPr>
        <w:tc>
          <w:tcPr>
            <w:tcW w:w="20" w:type="dxa"/>
            <w:vAlign w:val="bottom"/>
            <w:tcBorders>
              <w:bottom w:val="single" w:sz="8" w:color="CCEEFF"/>
            </w:tcBorders>
          </w:tcPr>
          <w:p>
            <w:pPr>
              <w:spacing w:after="0"/>
              <w:rPr>
                <w:sz w:val="13"/>
                <w:szCs w:val="13"/>
                <w:color w:val="auto"/>
              </w:rPr>
            </w:pPr>
          </w:p>
        </w:tc>
        <w:tc>
          <w:tcPr>
            <w:tcW w:w="77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Total operating revenues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1,314</w:t>
            </w:r>
          </w:p>
        </w:tc>
      </w:tr>
      <w:tr>
        <w:trPr>
          <w:trHeight w:val="152"/>
        </w:trPr>
        <w:tc>
          <w:tcPr>
            <w:tcW w:w="20" w:type="dxa"/>
            <w:vAlign w:val="bottom"/>
            <w:shd w:val="clear" w:color="auto" w:fill="CCEEFF"/>
          </w:tcPr>
          <w:p>
            <w:pPr>
              <w:spacing w:after="0"/>
              <w:rPr>
                <w:sz w:val="13"/>
                <w:szCs w:val="13"/>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Cost of fuels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costs of operations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Impairment losses</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w:t>
            </w:r>
          </w:p>
        </w:tc>
      </w:tr>
      <w:tr>
        <w:trPr>
          <w:trHeight w:val="158"/>
        </w:trPr>
        <w:tc>
          <w:tcPr>
            <w:tcW w:w="20" w:type="dxa"/>
            <w:vAlign w:val="bottom"/>
            <w:tcBorders>
              <w:bottom w:val="single" w:sz="8" w:color="CCEEFF"/>
            </w:tcBorders>
          </w:tcPr>
          <w:p>
            <w:pPr>
              <w:spacing w:after="0"/>
              <w:rPr>
                <w:sz w:val="13"/>
                <w:szCs w:val="13"/>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52"/>
        </w:trPr>
        <w:tc>
          <w:tcPr>
            <w:tcW w:w="20" w:type="dxa"/>
            <w:vAlign w:val="bottom"/>
            <w:shd w:val="clear" w:color="auto" w:fill="CCEEFF"/>
          </w:tcPr>
          <w:p>
            <w:pPr>
              <w:spacing w:after="0"/>
              <w:rPr>
                <w:sz w:val="13"/>
                <w:szCs w:val="13"/>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 net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interest (expense) income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20" w:type="dxa"/>
            <w:vAlign w:val="bottom"/>
            <w:tcBorders>
              <w:bottom w:val="single" w:sz="8" w:color="CCEEFF"/>
            </w:tcBorders>
          </w:tcPr>
          <w:p>
            <w:pPr>
              <w:spacing w:after="0"/>
              <w:rPr>
                <w:sz w:val="14"/>
                <w:szCs w:val="14"/>
                <w:color w:val="auto"/>
              </w:rPr>
            </w:pPr>
          </w:p>
        </w:tc>
        <w:tc>
          <w:tcPr>
            <w:tcW w:w="77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interest expense</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63"/>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other expense, net</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r>
      <w:tr>
        <w:trPr>
          <w:trHeight w:val="158"/>
        </w:trPr>
        <w:tc>
          <w:tcPr>
            <w:tcW w:w="20" w:type="dxa"/>
            <w:vAlign w:val="bottom"/>
          </w:tcPr>
          <w:p>
            <w:pPr>
              <w:spacing w:after="0"/>
              <w:rPr>
                <w:sz w:val="13"/>
                <w:szCs w:val="13"/>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20" w:type="dxa"/>
            <w:vAlign w:val="bottom"/>
          </w:tcPr>
          <w:p>
            <w:pPr>
              <w:spacing w:after="0"/>
              <w:rPr>
                <w:sz w:val="13"/>
                <w:szCs w:val="13"/>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0"/>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and redeemable noncontrolling interests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63"/>
        </w:trPr>
        <w:tc>
          <w:tcPr>
            <w:tcW w:w="20" w:type="dxa"/>
            <w:vAlign w:val="bottom"/>
          </w:tcPr>
          <w:p>
            <w:pPr>
              <w:spacing w:after="0"/>
              <w:rPr>
                <w:sz w:val="14"/>
                <w:szCs w:val="14"/>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Clearway Energy LLC</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metrics:</w:t>
            </w: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00" w:type="dxa"/>
            <w:vAlign w:val="bottom"/>
            <w:gridSpan w:val="3"/>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2"/>
        </w:trPr>
        <w:tc>
          <w:tcPr>
            <w:tcW w:w="7520" w:type="dxa"/>
            <w:vAlign w:val="bottom"/>
            <w:tcBorders>
              <w:top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3"/>
                <w:szCs w:val="13"/>
                <w:color w:val="auto"/>
              </w:rPr>
              <w:t xml:space="preserve">Solar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9,225</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8,658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5,425</w:t>
            </w:r>
          </w:p>
        </w:tc>
        <w:tc>
          <w:tcPr>
            <w:tcW w:w="0" w:type="dxa"/>
            <w:vAlign w:val="bottom"/>
          </w:tcPr>
          <w:p>
            <w:pPr>
              <w:spacing w:after="0"/>
              <w:rPr>
                <w:sz w:val="1"/>
                <w:szCs w:val="1"/>
                <w:color w:val="auto"/>
              </w:rPr>
            </w:pPr>
          </w:p>
        </w:tc>
      </w:tr>
      <w:tr>
        <w:trPr>
          <w:trHeight w:val="170"/>
        </w:trPr>
        <w:tc>
          <w:tcPr>
            <w:tcW w:w="75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Wind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10,528</w:t>
            </w:r>
          </w:p>
        </w:tc>
        <w:tc>
          <w:tcPr>
            <w:tcW w:w="130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9,951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9,414</w:t>
            </w:r>
          </w:p>
        </w:tc>
        <w:tc>
          <w:tcPr>
            <w:tcW w:w="0" w:type="dxa"/>
            <w:vAlign w:val="bottom"/>
          </w:tcPr>
          <w:p>
            <w:pPr>
              <w:spacing w:after="0"/>
              <w:rPr>
                <w:sz w:val="1"/>
                <w:szCs w:val="1"/>
                <w:color w:val="auto"/>
              </w:rPr>
            </w:pPr>
          </w:p>
        </w:tc>
      </w:tr>
      <w:tr>
        <w:trPr>
          <w:trHeight w:val="185"/>
        </w:trPr>
        <w:tc>
          <w:tcPr>
            <w:tcW w:w="7520" w:type="dxa"/>
            <w:vAlign w:val="bottom"/>
            <w:tcBorders>
              <w:top w:val="single" w:sz="8" w:color="CCEEFF"/>
              <w:bottom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 xml:space="preserve">Renewables &amp; Storage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19,753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18,609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14,839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Solar weighted-average capacity factor </w:t>
            </w:r>
            <w:r>
              <w:rPr>
                <w:rFonts w:ascii="Times New Roman" w:cs="Times New Roman" w:eastAsia="Times New Roman" w:hAnsi="Times New Roman"/>
                <w:sz w:val="16"/>
                <w:szCs w:val="16"/>
                <w:color w:val="auto"/>
                <w:vertAlign w:val="superscript"/>
              </w:rPr>
              <w:t>(b)</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520" w:type="dxa"/>
            <w:vAlign w:val="bottom"/>
            <w:vMerge w:val="continue"/>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28.9 %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29.8 %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27.5 %</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Wind weighted-average capacity factor </w:t>
            </w:r>
            <w:r>
              <w:rPr>
                <w:rFonts w:ascii="Times New Roman" w:cs="Times New Roman" w:eastAsia="Times New Roman" w:hAnsi="Times New Roman"/>
                <w:sz w:val="16"/>
                <w:szCs w:val="16"/>
                <w:color w:val="auto"/>
                <w:vertAlign w:val="superscript"/>
              </w:rPr>
              <w:t>(c)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30.6 %</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28.3 %</w:t>
            </w:r>
          </w:p>
        </w:tc>
        <w:tc>
          <w:tcPr>
            <w:tcW w:w="0" w:type="dxa"/>
            <w:vAlign w:val="bottom"/>
          </w:tcPr>
          <w:p>
            <w:pPr>
              <w:spacing w:after="0"/>
              <w:rPr>
                <w:sz w:val="1"/>
                <w:szCs w:val="1"/>
                <w:color w:val="auto"/>
              </w:rPr>
            </w:pPr>
          </w:p>
        </w:tc>
      </w:tr>
      <w:tr>
        <w:trPr>
          <w:trHeight w:val="170"/>
        </w:trPr>
        <w:tc>
          <w:tcPr>
            <w:tcW w:w="7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Flexible Generation MWh generated (in thousands) </w:t>
            </w:r>
            <w:r>
              <w:rPr>
                <w:rFonts w:ascii="Times New Roman" w:cs="Times New Roman" w:eastAsia="Times New Roman" w:hAnsi="Times New Roman"/>
                <w:sz w:val="16"/>
                <w:szCs w:val="16"/>
                <w:color w:val="auto"/>
                <w:vertAlign w:val="superscript"/>
              </w:rPr>
              <w:t>(a)(e)</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323</w:t>
            </w:r>
          </w:p>
        </w:tc>
        <w:tc>
          <w:tcPr>
            <w:tcW w:w="130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847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996</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Flexible Generation equivalent availability factor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93.4 %</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9" w:lineRule="exact"/>
        <w:rPr>
          <w:sz w:val="20"/>
          <w:szCs w:val="20"/>
          <w:color w:val="auto"/>
        </w:rPr>
      </w:pPr>
    </w:p>
    <w:p>
      <w:pPr>
        <w:ind w:left="180" w:hanging="111"/>
        <w:spacing w:after="0"/>
        <w:tabs>
          <w:tab w:leader="none" w:pos="180" w:val="left"/>
        </w:tabs>
        <w:numPr>
          <w:ilvl w:val="0"/>
          <w:numId w:val="2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3" w:lineRule="exact"/>
        <w:rPr>
          <w:rFonts w:ascii="Times New Roman" w:cs="Times New Roman" w:eastAsia="Times New Roman" w:hAnsi="Times New Roman"/>
          <w:sz w:val="15"/>
          <w:szCs w:val="15"/>
          <w:color w:val="auto"/>
          <w:vertAlign w:val="superscript"/>
        </w:rPr>
      </w:pPr>
    </w:p>
    <w:p>
      <w:pPr>
        <w:ind w:left="180" w:hanging="111"/>
        <w:spacing w:after="0" w:line="200" w:lineRule="auto"/>
        <w:tabs>
          <w:tab w:leader="none" w:pos="180" w:val="left"/>
        </w:tabs>
        <w:numPr>
          <w:ilvl w:val="0"/>
          <w:numId w:val="2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Typical average capacity factors for solar facilities is 25%. The weighted-average capacity factors can vary based on seasonality and weather.</w:t>
      </w:r>
    </w:p>
    <w:p>
      <w:pPr>
        <w:spacing w:after="0" w:line="14" w:lineRule="exact"/>
        <w:rPr>
          <w:rFonts w:ascii="Times New Roman" w:cs="Times New Roman" w:eastAsia="Times New Roman" w:hAnsi="Times New Roman"/>
          <w:sz w:val="14"/>
          <w:szCs w:val="14"/>
          <w:color w:val="auto"/>
          <w:vertAlign w:val="superscript"/>
        </w:rPr>
      </w:pPr>
    </w:p>
    <w:p>
      <w:pPr>
        <w:ind w:left="180" w:hanging="111"/>
        <w:spacing w:after="0" w:line="187" w:lineRule="auto"/>
        <w:tabs>
          <w:tab w:leader="none" w:pos="180" w:val="left"/>
        </w:tabs>
        <w:numPr>
          <w:ilvl w:val="0"/>
          <w:numId w:val="2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Typical average capacity factors for wind facilities is 25-45%. The weighted-average capacity factors can vary based on seasonality and weather.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Management’s discussion of the results of operations for the years ended December 31, 2025 and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Operating revenues increased by $58 million for the year ended December 31, 2025, compared to the same period in 2024, due to a combination of the drivers summarized in the table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18"/>
        </w:trPr>
        <w:tc>
          <w:tcPr>
            <w:tcW w:w="20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Renewables &amp; Storage Segment</w:t>
            </w:r>
          </w:p>
        </w:tc>
        <w:tc>
          <w:tcPr>
            <w:tcW w:w="7880" w:type="dxa"/>
            <w:vAlign w:val="bottom"/>
            <w:shd w:val="clear" w:color="auto" w:fill="CCEEFF"/>
          </w:tcPr>
          <w:p>
            <w:pPr>
              <w:ind w:left="620"/>
              <w:spacing w:after="0" w:line="118" w:lineRule="exact"/>
              <w:rPr>
                <w:sz w:val="20"/>
                <w:szCs w:val="20"/>
                <w:color w:val="auto"/>
              </w:rPr>
            </w:pPr>
            <w:r>
              <w:rPr>
                <w:rFonts w:ascii="Times New Roman" w:cs="Times New Roman" w:eastAsia="Times New Roman" w:hAnsi="Times New Roman"/>
                <w:sz w:val="13"/>
                <w:szCs w:val="13"/>
                <w:color w:val="auto"/>
              </w:rPr>
              <w:t>Increase primarily driven by the Victory Pass and Arica solar and BESS, Rosamond Central BESS, Rosamond South I solar</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80" w:type="dxa"/>
            <w:vAlign w:val="bottom"/>
            <w:shd w:val="clear" w:color="auto" w:fill="CCEEFF"/>
          </w:tcPr>
          <w:p>
            <w:pPr>
              <w:ind w:left="620"/>
              <w:spacing w:after="0" w:line="145" w:lineRule="exact"/>
              <w:rPr>
                <w:sz w:val="20"/>
                <w:szCs w:val="20"/>
                <w:color w:val="auto"/>
              </w:rPr>
            </w:pPr>
            <w:r>
              <w:rPr>
                <w:rFonts w:ascii="Times New Roman" w:cs="Times New Roman" w:eastAsia="Times New Roman" w:hAnsi="Times New Roman"/>
                <w:sz w:val="14"/>
                <w:szCs w:val="14"/>
                <w:color w:val="auto"/>
              </w:rPr>
              <w:t>and BESS, Daggett 1 BESS and Pine Forest solar and BESS acquisitions, which reached commercial operations in March</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80" w:type="dxa"/>
            <w:vAlign w:val="bottom"/>
            <w:shd w:val="clear" w:color="auto" w:fill="CCEEFF"/>
          </w:tcPr>
          <w:p>
            <w:pPr>
              <w:ind w:left="620"/>
              <w:spacing w:after="0" w:line="142" w:lineRule="exact"/>
              <w:rPr>
                <w:sz w:val="20"/>
                <w:szCs w:val="20"/>
                <w:color w:val="auto"/>
              </w:rPr>
            </w:pPr>
            <w:r>
              <w:rPr>
                <w:rFonts w:ascii="Times New Roman" w:cs="Times New Roman" w:eastAsia="Times New Roman" w:hAnsi="Times New Roman"/>
                <w:sz w:val="14"/>
                <w:szCs w:val="14"/>
                <w:color w:val="auto"/>
              </w:rPr>
              <w:t>2024, April 2024, June 2024, August 2025, September 2025 and November 2025, respectively, as well as the Catalina solar</w:t>
            </w:r>
          </w:p>
        </w:tc>
        <w:tc>
          <w:tcPr>
            <w:tcW w:w="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acquisition in July 2025.</w:t>
            </w:r>
          </w:p>
        </w:tc>
        <w:tc>
          <w:tcPr>
            <w:tcW w:w="200" w:type="dxa"/>
            <w:vAlign w:val="bottom"/>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80" w:type="dxa"/>
            <w:vAlign w:val="bottom"/>
          </w:tcPr>
          <w:p>
            <w:pPr>
              <w:ind w:left="620"/>
              <w:spacing w:after="0" w:line="138" w:lineRule="exact"/>
              <w:rPr>
                <w:sz w:val="20"/>
                <w:szCs w:val="20"/>
                <w:color w:val="auto"/>
              </w:rPr>
            </w:pPr>
            <w:r>
              <w:rPr>
                <w:rFonts w:ascii="Times New Roman" w:cs="Times New Roman" w:eastAsia="Times New Roman" w:hAnsi="Times New Roman"/>
                <w:sz w:val="14"/>
                <w:szCs w:val="14"/>
                <w:color w:val="auto"/>
              </w:rPr>
              <w:t>Increase driven by the Cedar Creek and Tuolumne wind acquisitions in April 2024 and April 2025, respectively, as well as the</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Dan’s Mountain wind acquisition, which reached commercial operations in May 2025.</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Decrease primarily driven by lower wind resource at certain facilities.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80" w:type="dxa"/>
            <w:vAlign w:val="bottom"/>
          </w:tcPr>
          <w:p>
            <w:pPr>
              <w:ind w:left="620"/>
              <w:spacing w:after="0" w:line="138" w:lineRule="exact"/>
              <w:rPr>
                <w:sz w:val="20"/>
                <w:szCs w:val="20"/>
                <w:color w:val="auto"/>
              </w:rPr>
            </w:pPr>
            <w:r>
              <w:rPr>
                <w:rFonts w:ascii="Times New Roman" w:cs="Times New Roman" w:eastAsia="Times New Roman" w:hAnsi="Times New Roman"/>
                <w:sz w:val="14"/>
                <w:szCs w:val="14"/>
                <w:color w:val="auto"/>
              </w:rPr>
              <w:t>Loss incurred on the partial buy-out of the Mt. Storm commodity contract in May 2025 and the subsequent buy-out of the</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remaining contract in July 2025.</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8"/>
        </w:trPr>
        <w:tc>
          <w:tcPr>
            <w:tcW w:w="20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Flexible Generation Segment</w:t>
            </w:r>
          </w:p>
        </w:tc>
        <w:tc>
          <w:tcPr>
            <w:tcW w:w="7880" w:type="dxa"/>
            <w:vAlign w:val="bottom"/>
            <w:shd w:val="clear" w:color="auto" w:fill="CCEEFF"/>
          </w:tcPr>
          <w:p>
            <w:pPr>
              <w:ind w:left="620"/>
              <w:spacing w:after="0" w:line="138" w:lineRule="exact"/>
              <w:rPr>
                <w:sz w:val="20"/>
                <w:szCs w:val="20"/>
                <w:color w:val="auto"/>
              </w:rPr>
            </w:pPr>
            <w:r>
              <w:rPr>
                <w:rFonts w:ascii="Times New Roman" w:cs="Times New Roman" w:eastAsia="Times New Roman" w:hAnsi="Times New Roman"/>
                <w:sz w:val="14"/>
                <w:szCs w:val="14"/>
                <w:color w:val="auto"/>
              </w:rPr>
              <w:t>Decrease in energy revenue primarily driven by lower generation at the Walnut Creek, Marsh Landing and El Segundo facilities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due to milder weather, which also decreased cost of fuels as noted below.</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38"/>
        </w:trPr>
        <w:tc>
          <w:tcPr>
            <w:tcW w:w="20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Contract amortization</w:t>
            </w:r>
          </w:p>
        </w:tc>
        <w:tc>
          <w:tcPr>
            <w:tcW w:w="7880" w:type="dxa"/>
            <w:vAlign w:val="bottom"/>
          </w:tcPr>
          <w:p>
            <w:pPr>
              <w:ind w:left="620"/>
              <w:spacing w:after="0" w:line="138" w:lineRule="exact"/>
              <w:rPr>
                <w:sz w:val="20"/>
                <w:szCs w:val="20"/>
                <w:color w:val="auto"/>
              </w:rPr>
            </w:pPr>
            <w:r>
              <w:rPr>
                <w:rFonts w:ascii="Times New Roman" w:cs="Times New Roman" w:eastAsia="Times New Roman" w:hAnsi="Times New Roman"/>
                <w:sz w:val="14"/>
                <w:szCs w:val="14"/>
                <w:color w:val="auto"/>
              </w:rPr>
              <w:t>Decrease primarily driven by the Tuolumne wind and Catalina solar acquisitions, partially offset by Cedro Hill, which reached</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repowering commercial operations in December 2024, resulting in the extension of the amortization period.</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8"/>
        </w:trPr>
        <w:tc>
          <w:tcPr>
            <w:tcW w:w="11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Mark-to-market</w:t>
            </w:r>
          </w:p>
        </w:tc>
        <w:tc>
          <w:tcPr>
            <w:tcW w:w="88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788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 xml:space="preserve">hedging </w:t>
            </w:r>
            <w:r>
              <w:rPr>
                <w:rFonts w:ascii="Times New Roman" w:cs="Times New Roman" w:eastAsia="Times New Roman" w:hAnsi="Times New Roman"/>
                <w:sz w:val="14"/>
                <w:szCs w:val="14"/>
                <w:color w:val="auto"/>
              </w:rPr>
              <w:t>Increase primarily driven by the Mt. Storm hedge buy-out during the second and third quarters of 2025, as well as lower</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80" w:type="dxa"/>
            <w:vAlign w:val="bottom"/>
            <w:shd w:val="clear" w:color="auto" w:fill="CCEEFF"/>
          </w:tcPr>
          <w:p>
            <w:pPr>
              <w:spacing w:after="0"/>
              <w:rPr>
                <w:sz w:val="16"/>
                <w:szCs w:val="16"/>
                <w:color w:val="auto"/>
              </w:rPr>
            </w:pPr>
          </w:p>
        </w:tc>
        <w:tc>
          <w:tcPr>
            <w:tcW w:w="7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forward prices in the PJM market, compared to 2024.</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Decrease primarily driven by an increase in forward power prices in the ERCOT market.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Decrease in heat rate call option contracts primarily driven by changes in power market prices.</w:t>
            </w: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Cost of fuels decreased by $35 million during the year ended December 31, 2025, compared to the same period in 2024, primarily due to lower generation at the Walnut Creek, Marsh Landing and El Segundo facilities due to milder weather, which resulted in less fuel purchases.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Expense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Operations and maintenance expense increased by $55 million during the year ended December 31, 2025, compared to the same period in 2024, primarily due to a combination of the drivers summarized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Borders>
              <w:bottom w:val="single" w:sz="8" w:color="CCEEFF"/>
            </w:tcBorders>
          </w:tcPr>
          <w:p>
            <w:pPr>
              <w:spacing w:after="0"/>
              <w:rPr>
                <w:sz w:val="14"/>
                <w:szCs w:val="14"/>
                <w:color w:val="auto"/>
              </w:rPr>
            </w:pPr>
          </w:p>
        </w:tc>
        <w:tc>
          <w:tcPr>
            <w:tcW w:w="7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Renewables &amp; Storage Segment</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Increase primarily driven by the solar and BESS acquisitions referenced above.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2260" w:type="dxa"/>
            <w:vAlign w:val="bottom"/>
          </w:tcPr>
          <w:p>
            <w:pPr>
              <w:spacing w:after="0"/>
              <w:rPr>
                <w:sz w:val="15"/>
                <w:szCs w:val="15"/>
                <w:color w:val="auto"/>
              </w:rPr>
            </w:pPr>
          </w:p>
        </w:tc>
        <w:tc>
          <w:tcPr>
            <w:tcW w:w="76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Increase primarily driven by non-cash lease adjustments in 2024 at certain solar facilities.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spacing w:after="0"/>
              <w:rPr>
                <w:sz w:val="15"/>
                <w:szCs w:val="15"/>
                <w:color w:val="auto"/>
              </w:rPr>
            </w:pP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Increase driven by the wind acquisitions referenced above.</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2260" w:type="dxa"/>
            <w:vAlign w:val="bottom"/>
          </w:tcPr>
          <w:p>
            <w:pPr>
              <w:spacing w:after="0"/>
              <w:rPr>
                <w:sz w:val="15"/>
                <w:szCs w:val="15"/>
                <w:color w:val="auto"/>
              </w:rPr>
            </w:pPr>
          </w:p>
        </w:tc>
        <w:tc>
          <w:tcPr>
            <w:tcW w:w="76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Decrease primarily driven by lower maintenance activities at various wind facilities.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 Segment</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Increase primarily driven by higher maintenance activities at various facilities.</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660" w:type="dxa"/>
            <w:vAlign w:val="bottom"/>
            <w:vMerge w:val="restart"/>
          </w:tcPr>
          <w:p>
            <w:pPr>
              <w:ind w:left="3320"/>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2260" w:type="dxa"/>
            <w:vAlign w:val="bottom"/>
          </w:tcPr>
          <w:p>
            <w:pPr>
              <w:spacing w:after="0"/>
              <w:rPr>
                <w:sz w:val="24"/>
                <w:szCs w:val="24"/>
                <w:color w:val="auto"/>
              </w:rPr>
            </w:pPr>
          </w:p>
        </w:tc>
        <w:tc>
          <w:tcPr>
            <w:tcW w:w="7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260" w:type="dxa"/>
            <w:vAlign w:val="bottom"/>
            <w:tcBorders>
              <w:bottom w:val="single" w:sz="8" w:color="9A9A9A"/>
            </w:tcBorders>
          </w:tcPr>
          <w:p>
            <w:pPr>
              <w:spacing w:after="0"/>
              <w:rPr>
                <w:sz w:val="7"/>
                <w:szCs w:val="7"/>
                <w:color w:val="auto"/>
              </w:rPr>
            </w:pPr>
          </w:p>
        </w:tc>
        <w:tc>
          <w:tcPr>
            <w:tcW w:w="7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and Accretion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Depreciation, amortization and accretion increased by $55 million during the year ended December 31, 2025, compared to the same period in 2024, primarily due to the solar and BESS acquisitions referenced above, as well as the accelerated depreciation in connection with the repowering of the Mt. Storm and Goat Mountain wind facilities, as further described in Note 4, </w:t>
      </w:r>
      <w:r>
        <w:rPr>
          <w:rFonts w:ascii="Times New Roman" w:cs="Times New Roman" w:eastAsia="Times New Roman" w:hAnsi="Times New Roman"/>
          <w:sz w:val="14"/>
          <w:szCs w:val="14"/>
          <w:i w:val="1"/>
          <w:iCs w:val="1"/>
          <w:color w:val="auto"/>
        </w:rPr>
        <w:t>Property,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Plant and Equipment</w:t>
      </w:r>
      <w:r>
        <w:rPr>
          <w:rFonts w:ascii="Times New Roman" w:cs="Times New Roman" w:eastAsia="Times New Roman" w:hAnsi="Times New Roman"/>
          <w:sz w:val="14"/>
          <w:szCs w:val="14"/>
          <w:color w:val="auto"/>
        </w:rPr>
        <w: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97"/>
        </w:trPr>
        <w:tc>
          <w:tcPr>
            <w:tcW w:w="99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Interest expense increased by $80 million during the year ended December 31, 2025, compared to the same period in 2024, primarily due to the following:</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4"/>
        </w:trPr>
        <w:tc>
          <w:tcPr>
            <w:tcW w:w="99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7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changes in interest rates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interest expense due to an increase in principal balances for the Renewables &amp; Storage segment primarily due to the solar and BESS acquisitions referenced above</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interest expense due to outstanding borrowings under the corporate revolving credit facility</w:t>
            </w: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92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9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 Expense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2025, the Company recorded an income tax benefit of $1 million on pretax loss of $172 million. For the same period in 2024, the Company recorded an income tax expense of $1 million on pretax loss of $32 million. The Company is classified as a partnership for federal and state income tax purposes. Therefore, federal and most state income taxes are assessed at the partner level. The franchise tax imposed by the state of Texas, however, is being assessed at the level of certain operating subsidiaries of the Company, and therefore reflected as an income tax expense or benefit of the Company.</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is subject to examination by taxing authorities for income tax returns filed in the U.S. federal and various state jurisdictions. All tax returns filed by the Company for the year ended December 31, 2013 and forward remain subject to audit.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 and Redeemable Noncontrolling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2025, the Company had a net loss of $555 million attributable to noncontrolling interests and redeemable noncontrolling interests comprised of the following:</w:t>
      </w:r>
    </w:p>
    <w:p>
      <w:pPr>
        <w:sectPr>
          <w:pgSz w:w="11900" w:h="16838" w:orient="portrait"/>
          <w:cols w:equalWidth="0" w:num="1">
            <w:col w:w="11280"/>
          </w:cols>
          <w:pgMar w:left="300" w:top="728" w:right="319" w:bottom="1440" w:gutter="0" w:footer="0" w:header="0"/>
        </w:sectPr>
      </w:pPr>
    </w:p>
    <w:p>
      <w:pPr>
        <w:spacing w:after="0" w:line="263"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Daggett 1 TE Holdco LLC, Dan’s Mountain Tax Credit Holdco LLC, Luna Valley TE Holdco LLC, Rosie South TE Holdco LLC, Rosie TE HoldCo LLC and VP-Arica TE Holdco LLC HLBV net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161530" cy="208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0" w:right="220"/>
        <w:spacing w:after="0" w:line="239" w:lineRule="auto"/>
        <w:rPr>
          <w:sz w:val="20"/>
          <w:szCs w:val="20"/>
          <w:color w:val="auto"/>
        </w:rPr>
      </w:pPr>
      <w:r>
        <w:rPr>
          <w:rFonts w:ascii="Times New Roman" w:cs="Times New Roman" w:eastAsia="Times New Roman" w:hAnsi="Times New Roman"/>
          <w:sz w:val="14"/>
          <w:szCs w:val="14"/>
          <w:color w:val="auto"/>
        </w:rPr>
        <w:t>Income attributable to third-party partnerships (primarily due to Dan’s Mountain Tax Credit Holdco LLC, Rosie South TE Holdco LLC, Rosie TE HoldCo LLC and VP-Arica TE Holdco LLC HLBV net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61530" cy="134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70" w:lineRule="exact"/>
        <w:rPr>
          <w:sz w:val="20"/>
          <w:szCs w:val="20"/>
          <w:color w:val="auto"/>
        </w:rPr>
      </w:pPr>
    </w:p>
    <w:p>
      <w:pPr>
        <w:ind w:left="1031" w:hanging="1031"/>
        <w:spacing w:after="0"/>
        <w:tabs>
          <w:tab w:leader="none" w:pos="103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(689)</w:t>
      </w:r>
    </w:p>
    <w:p>
      <w:pPr>
        <w:spacing w:after="0" w:line="179" w:lineRule="exact"/>
        <w:rPr>
          <w:sz w:val="20"/>
          <w:szCs w:val="20"/>
          <w:color w:val="auto"/>
        </w:rPr>
      </w:pPr>
    </w:p>
    <w:p>
      <w:pPr>
        <w:ind w:left="1091"/>
        <w:spacing w:after="0"/>
        <w:rPr>
          <w:sz w:val="20"/>
          <w:szCs w:val="20"/>
          <w:color w:val="auto"/>
        </w:rPr>
      </w:pPr>
      <w:r>
        <w:rPr>
          <w:rFonts w:ascii="Times New Roman" w:cs="Times New Roman" w:eastAsia="Times New Roman" w:hAnsi="Times New Roman"/>
          <w:sz w:val="14"/>
          <w:szCs w:val="14"/>
          <w:color w:val="auto"/>
        </w:rPr>
        <w:t>134</w:t>
      </w:r>
    </w:p>
    <w:p>
      <w:pPr>
        <w:spacing w:after="0" w:line="30" w:lineRule="exact"/>
        <w:rPr>
          <w:sz w:val="20"/>
          <w:szCs w:val="20"/>
          <w:color w:val="auto"/>
        </w:rPr>
      </w:pPr>
    </w:p>
    <w:p>
      <w:pPr>
        <w:ind w:left="1031" w:hanging="1031"/>
        <w:spacing w:after="0"/>
        <w:tabs>
          <w:tab w:leader="none" w:pos="103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86931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0" w:space="129"/>
            <w:col w:w="1351"/>
          </w:cols>
          <w:pgMar w:left="300" w:top="728" w:right="319" w:bottom="1440" w:gutter="0" w:footer="0" w:header="0"/>
          <w:type w:val="continuous"/>
        </w:sectPr>
      </w:pP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2024, the Company had a net loss of $236 million attributable to noncontrolling interests and redeemable noncontrolling interests comprised of the following:</w:t>
      </w:r>
    </w:p>
    <w:p>
      <w:pPr>
        <w:sectPr>
          <w:pgSz w:w="11900" w:h="16838" w:orient="portrait"/>
          <w:cols w:equalWidth="0" w:num="1">
            <w:col w:w="11280"/>
          </w:cols>
          <w:pgMar w:left="300" w:top="728" w:right="319" w:bottom="1440" w:gutter="0" w:footer="0" w:header="0"/>
          <w:type w:val="continuous"/>
        </w:sectPr>
      </w:pPr>
    </w:p>
    <w:p>
      <w:pPr>
        <w:spacing w:after="0" w:line="263"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VP-Arica TE Holdco LLC and Rosie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161530" cy="208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VP-Arica TE Holdco LLC and Rosie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70" w:lineRule="exact"/>
        <w:rPr>
          <w:sz w:val="20"/>
          <w:szCs w:val="20"/>
          <w:color w:val="auto"/>
        </w:rPr>
      </w:pPr>
    </w:p>
    <w:p>
      <w:pPr>
        <w:ind w:left="1031" w:hanging="1031"/>
        <w:spacing w:after="0"/>
        <w:tabs>
          <w:tab w:leader="none" w:pos="103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(404)</w:t>
      </w:r>
    </w:p>
    <w:p>
      <w:pPr>
        <w:spacing w:after="0" w:line="34"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168</w:t>
      </w:r>
    </w:p>
    <w:p>
      <w:pPr>
        <w:spacing w:after="0" w:line="26" w:lineRule="exact"/>
        <w:rPr>
          <w:sz w:val="20"/>
          <w:szCs w:val="20"/>
          <w:color w:val="auto"/>
        </w:rPr>
      </w:pPr>
    </w:p>
    <w:p>
      <w:pPr>
        <w:ind w:left="1031" w:hanging="1031"/>
        <w:spacing w:after="0"/>
        <w:tabs>
          <w:tab w:leader="none" w:pos="103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86931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269"/>
            <w:col w:w="1351"/>
          </w:cols>
          <w:pgMar w:left="300" w:top="728" w:right="31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 xml:space="preserve">The Company’s principal liquidity requirements are to meet its financial commitments, finance current operations, fund capital expenditures, including investments and acquisitions from time to time, service debt and pay distributions. </w:t>
      </w:r>
      <w:r>
        <w:rPr>
          <w:rFonts w:ascii="Times New Roman" w:cs="Times New Roman" w:eastAsia="Times New Roman" w:hAnsi="Times New Roman"/>
          <w:sz w:val="14"/>
          <w:szCs w:val="14"/>
          <w:color w:val="000000"/>
        </w:rPr>
        <w:t>As a normal part of the Company’s business, depending on market conditions, the Company will from time to time consider opportunities to repay, redeem,</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xml:space="preserve"> and 2024, the Company’s liquidity was approximately $1,061 million and $1,330 million, respectively, comprised of cash, restricted cash and availability under the Company’s revolving credit facility.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40" w:type="dxa"/>
            <w:vAlign w:val="bottom"/>
            <w:tcBorders>
              <w:bottom w:val="single" w:sz="8" w:color="auto"/>
            </w:tcBorders>
          </w:tcPr>
          <w:p>
            <w:pPr>
              <w:spacing w:after="0"/>
              <w:rPr>
                <w:sz w:val="13"/>
                <w:szCs w:val="13"/>
                <w:color w:val="auto"/>
              </w:rPr>
            </w:pPr>
          </w:p>
        </w:tc>
      </w:tr>
      <w:tr>
        <w:trPr>
          <w:trHeight w:val="154"/>
        </w:trPr>
        <w:tc>
          <w:tcPr>
            <w:tcW w:w="8560" w:type="dxa"/>
            <w:vAlign w:val="bottom"/>
          </w:tcPr>
          <w:p>
            <w:pPr>
              <w:spacing w:after="0"/>
              <w:rPr>
                <w:sz w:val="13"/>
                <w:szCs w:val="13"/>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gridSpan w:val="3"/>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40" w:type="dxa"/>
            <w:vAlign w:val="bottom"/>
          </w:tcPr>
          <w:p>
            <w:pPr>
              <w:spacing w:after="0"/>
              <w:rPr>
                <w:sz w:val="13"/>
                <w:szCs w:val="13"/>
                <w:color w:val="auto"/>
              </w:rPr>
            </w:pPr>
          </w:p>
        </w:tc>
      </w:tr>
      <w:tr>
        <w:trPr>
          <w:trHeight w:val="17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8"/>
        </w:trPr>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Clearway Energy LLC, excluding subsidiaries</w:t>
            </w:r>
          </w:p>
        </w:tc>
        <w:tc>
          <w:tcPr>
            <w:tcW w:w="840" w:type="dxa"/>
            <w:vAlign w:val="bottom"/>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172"/>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r>
      <w:tr>
        <w:trPr>
          <w:trHeight w:val="169"/>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accounts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68"/>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Reserves, including debt service, distributions, performance obligations and other reserves</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6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r>
      <w:tr>
        <w:trPr>
          <w:trHeight w:val="168"/>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Revolving credit facility availability</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w:t>
            </w:r>
          </w:p>
        </w:tc>
      </w:tr>
      <w:tr>
        <w:trPr>
          <w:trHeight w:val="18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liquidity</w:t>
            </w:r>
          </w:p>
        </w:tc>
        <w:tc>
          <w:tcPr>
            <w:tcW w:w="84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231F20"/>
        </w:rPr>
        <w:t xml:space="preserve">The Company’s liquidity includes $587 million and $401 million of restricted cash balances as of December 31, 2025 and </w:t>
      </w:r>
      <w:r>
        <w:rPr>
          <w:rFonts w:ascii="Times New Roman" w:cs="Times New Roman" w:eastAsia="Times New Roman" w:hAnsi="Times New Roman"/>
          <w:sz w:val="14"/>
          <w:szCs w:val="14"/>
          <w:color w:val="000000"/>
        </w:rPr>
        <w:t>2024</w:t>
      </w:r>
      <w:r>
        <w:rPr>
          <w:rFonts w:ascii="Times New Roman" w:cs="Times New Roman" w:eastAsia="Times New Roman" w:hAnsi="Times New Roman"/>
          <w:sz w:val="14"/>
          <w:szCs w:val="14"/>
          <w:color w:val="231F20"/>
        </w:rPr>
        <w:t xml:space="preserve">,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4"/>
          <w:szCs w:val="14"/>
          <w:color w:val="000000"/>
        </w:rPr>
        <w:t>December 31, 2025, these restricted funds were comprised of</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$146 million designated to fund operating expenses, approximately $99 million designated for current debt service payments, and $85 million restricted for reserves, including debt service, performance obligations and other reserves, as well as capital expenditures. The remaining $257 million is held in distribution reserve accounts, of which $174 million relates to transferable ITCs for the Rosamond South I solar and BESS facility that were received on behalf of the tax equity investor in Rosie South TE Holdco LLC and subsequently distributed to that tax equity investor in January 2026.</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12529"/>
        </w:rPr>
        <w:t>Clearway Energy LLC and Clearway Energy Operating LLC Revolving Credit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2025, the Company had $361 million in outstanding borrowings under its revolving credit facility and $96 million in letters of credit outstanding. During January 2026, the Company repaid all of the outstanding borrowings under the revolving credit facility utilizing the proceeds from the sale of the 2034 Senior Notes. The facility will continue to be used for general corporate purposes, including financing of future investments or acquisitions and posting letters of credit.</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2025, the Company’s 2028 Senior Notes, 2031 Senior Notes and 2032 Senior Notes were rated BB by S&amp;P and Ba2 by Moody’s.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w:t>
      </w:r>
      <w:r>
        <w:rPr>
          <w:rFonts w:ascii="Times New Roman" w:cs="Times New Roman" w:eastAsia="Times New Roman" w:hAnsi="Times New Roman"/>
          <w:sz w:val="14"/>
          <w:szCs w:val="14"/>
          <w:color w:val="000000"/>
        </w:rPr>
        <w:t>Item 15 —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the Company’s financing arrangements consist of corporate level debt, which includes Senior Notes, intercompany borrowings with Clearway, Inc., the revolving credit facility; facility-level financings for its various assets; the ATM Program and the DSPP.</w:t>
      </w:r>
    </w:p>
    <w:p>
      <w:pPr>
        <w:spacing w:after="0" w:line="9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2034 Senior Notes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On January 13, 2026, Clearway Energy Operating LLC completed the sale of $600 million aggregate principal amount of senior unsecured notes due 2034, or the 2034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Senior Notes. The 2034 Senior Notes bear interest at 5.750% and mature on January 15, 2034. Interest on the 2034 Senior Notes is payable semi-annually on January 15 and July 15 of each year, beginning on July 15, 2026. The net proceeds from the 2034 Senior Notes were used to repay $361 million in outstanding borrowings under the revolving credit facility and for general corporate purposes.</w:t>
      </w:r>
    </w:p>
    <w:p>
      <w:pPr>
        <w:spacing w:after="0" w:line="95"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Mt. Storm Sale to Clearway Renew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October 2, 2025, the Company, through its indirect subsidiary, WV Wind Holdco LLC, sold 100% of its membership interests in Mount Storm Wind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LLC, which owns Mt. Storm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 The consummation of the transaction is subject to customary closing conditions and certain third-party approvals and is expected to occur in the second half of 2026. Upon achieving repowering commercial operations, which is expected to occur in the second half of 2026, the facility will sell power to Microsoft under a 20-year PPA. See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 of the transactions.</w:t>
      </w:r>
    </w:p>
    <w:p>
      <w:pPr>
        <w:spacing w:after="0" w:line="101"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At-the-Market Equity Offering Program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August 6, 2025, the Company and Clearway, Inc. entered into an equity distribution agreement with Morgan Stanley &amp; Co. LLC, BofA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Inc., Citigroup Global Markets Inc., J.P. Morgan Securities LLC and Wells Fargo Securities LLC, as sales agents. Pursuant to the terms of the agreement, Clearway, Inc. may offer and sell shares of its Class C common stock, from time to time through the sales agents, up to an aggregate sales price of $100 million through an at-the-market equity offering program, or ATM Program. During the year ended December 31, 2025, Clearway, Inc. issued 787,980 shares of Class C common stock under the ATM Program for gross proceeds of $25 million and incurred fees of less than $1 million, which were exchanged for 787,980 of the Company’s Class C units. The net proceeds from the sale of shares under the ATM Program were used for general corporate purposes. As of December 31, 2025, approximately $75 million of Clearway, Inc.’s Class C common stock remained available for issuance under the ATM Program.</w:t>
      </w:r>
    </w:p>
    <w:p>
      <w:pPr>
        <w:spacing w:after="0" w:line="99"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Dividend Reinvestment and Direct Stock Purchase Plan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August 6, 2025, Clearway, Inc. adopted a dividend reinvestment and direct stock purchase plan, or DRIP/DSPP,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which Clearway, Inc. registered and reserved for issuance up to an aggregate of 3,300,000 shares of Class C common stock. Under the DRIP, holders of Clearway, Inc.’s Class C common stock can designate all or a portion of their cash dividends, when paid, to be reinvested in additional shares of Clearway, Inc.’s Class C common stock. The DSPP allows (i) plan participants and registered stockholders of Clearway, Inc. who are not plan participants to purchase shares of Clearway, Inc.’s Class C common stock in the minimum amount of $50 per investment up to a maximum aggregate amount of $150,000 per calendar year; (ii) new investors who do not own shares of Clearway, Inc.’s Class C common stock to purchase shares by making an initial minimum investment of $250, up to a maximum aggregate amount of $150,000 per calendar year; and (iii) plan participants, other registered stockholders and new investors to request a waiver from Clearway, Inc. to make optional cash investments in excess of the maximum aggregate amount of $150,000 per calendar year. During the year ended December 31, 2025, Clearway, Inc. issued 793,202 shares of Class C common stock under the DSPP for gross proceeds of $25 million and incurred fees of less than $1 million, which were exchanged for 793,202 of the Company’s Class C units. The net proceeds from the sale of shares under the DSPP were used for general corporate purposes. As of December 31, 2025, approximately 2,506,798 shares of Clearway, Inc.’s Class C common stock remained available for issuance under the DRIP/DSPP.</w:t>
      </w:r>
    </w:p>
    <w:p>
      <w:pPr>
        <w:spacing w:after="0" w:line="10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January 2026, Clearway, Inc. issued 1,445,244 shares of Class C common stock under the DSPP for gross proceeds of $50 million and incurred fees of less than $1 million, which were exchanged for 1,445,244 of the Company’s Class C units. As of January 31, 2026, approximately 1,061,554 shares of Clearway, Inc’s Class C common stock remained available for issuance under the DRIP/DSPP.</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Item 15 </w:t>
      </w:r>
      <w:r>
        <w:rPr>
          <w:rFonts w:ascii="Times New Roman" w:cs="Times New Roman" w:eastAsia="Times New Roman" w:hAnsi="Times New Roman"/>
          <w:sz w:val="14"/>
          <w:szCs w:val="14"/>
          <w:color w:val="000000"/>
        </w:rPr>
        <w:t>—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(ii) capital expenditures; (iii) off-balance sheet arrangements; (iv) acquisitions and investments, as described more fully in Item 15</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 Note 3,</w:t>
      </w:r>
      <w:r>
        <w:rPr>
          <w:rFonts w:ascii="Times New Roman" w:cs="Times New Roman" w:eastAsia="Times New Roman" w:hAnsi="Times New Roman"/>
          <w:sz w:val="14"/>
          <w:szCs w:val="14"/>
          <w:i w:val="1"/>
          <w:iCs w:val="1"/>
          <w:color w:val="000000"/>
        </w:rPr>
        <w:t xml:space="preserve"> Acquisitions and Dispositions </w:t>
      </w:r>
      <w:r>
        <w:rPr>
          <w:rFonts w:ascii="Times New Roman" w:cs="Times New Roman" w:eastAsia="Times New Roman" w:hAnsi="Times New Roman"/>
          <w:sz w:val="14"/>
          <w:szCs w:val="14"/>
          <w:color w:val="000000"/>
        </w:rPr>
        <w:t>and Note</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 xml:space="preserve">13, </w:t>
      </w:r>
      <w:r>
        <w:rPr>
          <w:rFonts w:ascii="Times New Roman" w:cs="Times New Roman" w:eastAsia="Times New Roman" w:hAnsi="Times New Roman"/>
          <w:sz w:val="14"/>
          <w:szCs w:val="14"/>
          <w:i w:val="1"/>
          <w:iCs w:val="1"/>
          <w:color w:val="000000"/>
        </w:rPr>
        <w:t>Related Party Transactions</w:t>
      </w:r>
      <w:r>
        <w:rPr>
          <w:rFonts w:ascii="Times New Roman" w:cs="Times New Roman" w:eastAsia="Times New Roman" w:hAnsi="Times New Roman"/>
          <w:sz w:val="14"/>
          <w:szCs w:val="14"/>
          <w:color w:val="231F20"/>
        </w:rPr>
        <w:t>; and (v) distributions.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2" w:name="page53"/>
    <w:bookmarkEnd w:id="52"/>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Debt Service Obligations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Principal payments on debt as of December 31, 2025, are due in the following periods: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There- after</w:t>
            </w:r>
          </w:p>
        </w:tc>
        <w:tc>
          <w:tcPr>
            <w:tcW w:w="18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5"/>
        </w:trPr>
        <w:tc>
          <w:tcPr>
            <w:tcW w:w="20" w:type="dxa"/>
            <w:vAlign w:val="bottom"/>
            <w:shd w:val="clear" w:color="auto" w:fill="CCEEFF"/>
          </w:tcPr>
          <w:p>
            <w:pPr>
              <w:spacing w:after="0"/>
              <w:rPr>
                <w:sz w:val="15"/>
                <w:szCs w:val="15"/>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Corporate-level debt:</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Intercompany Note with Clearway, Inc.</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2028</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2031</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2032</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Clearway Energy LLC and Clearway Energy Operating LLC Revolving Credit Facility, due 2028</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Corporate-level debt</w:t>
            </w: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r>
      <w:tr>
        <w:trPr>
          <w:trHeight w:val="169"/>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Facility-level debt: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Borrego, due 2038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Buckthorn Solar, due 2031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Capistrano Portfolio Holdco LLC, due 2033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Cedar Creek,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Cedro Hill, due 2029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CVSR, due 2037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Daggett 1, due 2030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Daggett 2, due 2028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Daggett 3, due 2028</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 xml:space="preserve">Honeycomb Portfolio, due 2026 </w:t>
            </w:r>
            <w:r>
              <w:rPr>
                <w:rFonts w:ascii="Times New Roman" w:cs="Times New Roman" w:eastAsia="Times New Roman" w:hAnsi="Times New Roman"/>
                <w:sz w:val="16"/>
                <w:szCs w:val="16"/>
                <w:color w:val="auto"/>
                <w:vertAlign w:val="superscript"/>
              </w:rPr>
              <w:t>(a)</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Luna Valley, due 2030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Mililani Class B Member Holdco LLC, due 2028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NIMH Solar, due 2031 and 2033</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Pine Forest, due 2030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Rosie Class B LLC,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Rosamond South 1, due 2030</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TSN1 Class B Member LLC,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Tuolumne, due 2030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70"/>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63"/>
        </w:trPr>
        <w:tc>
          <w:tcPr>
            <w:tcW w:w="20" w:type="dxa"/>
            <w:vAlign w:val="bottom"/>
          </w:tcPr>
          <w:p>
            <w:pPr>
              <w:spacing w:after="0"/>
              <w:rPr>
                <w:sz w:val="14"/>
                <w:szCs w:val="14"/>
                <w:color w:val="auto"/>
              </w:rPr>
            </w:pP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 facility-level debt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4"/>
                <w:szCs w:val="14"/>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3,291</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firstLine="9"/>
        <w:spacing w:after="0"/>
        <w:tabs>
          <w:tab w:leader="none" w:pos="19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At December 31, 2025, amount includes $431 million of construction-related financings recorded in long-term debt on the Company’s consolidated balance sheet that is either being funded through long-term equity contributions or is converting to long-term debt.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3" w:name="page54"/>
    <w:bookmarkEnd w:id="53"/>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231F20"/>
        </w:rPr>
        <w:t xml:space="preserve">For the years ended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xml:space="preserve"> and 2024, the Company used approximately $319 million and $287 million, respectively, to fund capital expenditures, primarily in the Renewables &amp; Storage segment, funded through construction-related financing. Growth capital expenditures included $313 million </w:t>
      </w:r>
      <w:r>
        <w:rPr>
          <w:rFonts w:ascii="Times New Roman" w:cs="Times New Roman" w:eastAsia="Times New Roman" w:hAnsi="Times New Roman"/>
          <w:sz w:val="14"/>
          <w:szCs w:val="14"/>
          <w:color w:val="000000"/>
        </w:rPr>
        <w:t xml:space="preserve">primarily in the Renewables &amp; Storage segment, funded through construction-related financing. Growth capital expenditures included $81 million incurred in connection with the Rosamond South I solar and BESS facility, $58 million incurred in connection with the Pine Forest solar and BESS facility, $37 million incurred in connection with the Honeycomb Portfolio BESS facilities, $35 million incurred in connection with the Dan’s Mountain wind facility, $34 million incurred in connection with the Luna Valley solar facility, $27 million incurred in connection with the Daggett 1 BESS facility, $22 million incurred in connection with the repowering of the Cedro Hill wind facility, $12 million incurred in connection with the Victory Pass and Arica solar and BESS facilities and $7 million incurred by other facilities. </w:t>
      </w:r>
      <w:r>
        <w:rPr>
          <w:rFonts w:ascii="Times New Roman" w:cs="Times New Roman" w:eastAsia="Times New Roman" w:hAnsi="Times New Roman"/>
          <w:sz w:val="14"/>
          <w:szCs w:val="14"/>
          <w:color w:val="231F20"/>
        </w:rPr>
        <w:t>In addition, for the years ended</w:t>
      </w:r>
      <w:r>
        <w:rPr>
          <w:rFonts w:ascii="Times New Roman" w:cs="Times New Roman" w:eastAsia="Times New Roman" w:hAnsi="Times New Roman"/>
          <w:sz w:val="14"/>
          <w:szCs w:val="14"/>
          <w:color w:val="000000"/>
        </w:rPr>
        <w:t xml:space="preserve"> December 31, 2025 </w:t>
      </w:r>
      <w:r>
        <w:rPr>
          <w:rFonts w:ascii="Times New Roman" w:cs="Times New Roman" w:eastAsia="Times New Roman" w:hAnsi="Times New Roman"/>
          <w:sz w:val="14"/>
          <w:szCs w:val="14"/>
          <w:color w:val="231F20"/>
        </w:rPr>
        <w:t>and 2024, the Company incurred</w:t>
      </w:r>
      <w:r>
        <w:rPr>
          <w:rFonts w:ascii="Times New Roman" w:cs="Times New Roman" w:eastAsia="Times New Roman" w:hAnsi="Times New Roman"/>
          <w:sz w:val="14"/>
          <w:szCs w:val="14"/>
          <w:color w:val="000000"/>
        </w:rPr>
        <w:t xml:space="preserve"> $6 million and $11 million, respectively, of maintenance capital expenditures, which are net of credits received from equipment manufacturers.</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estimates $32 million of maintenance capital expenditures for 2026. </w:t>
      </w:r>
      <w:r>
        <w:rPr>
          <w:rFonts w:ascii="Times New Roman" w:cs="Times New Roman" w:eastAsia="Times New Roman" w:hAnsi="Times New Roman"/>
          <w:sz w:val="14"/>
          <w:szCs w:val="14"/>
          <w:color w:val="000000"/>
        </w:rPr>
        <w:t>These estimates are subject to continuing review and adjustment and actual capital expenditures may vary</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from these estimates.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Certain Guarantee Contracts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Retained or Contingent Interests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Arising Out of a Variable Interest in an Unconsolidated Entity</w:t>
      </w:r>
    </w:p>
    <w:p>
      <w:pPr>
        <w:spacing w:after="0" w:line="12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Variable interest in equity investments </w:t>
      </w:r>
      <w:r>
        <w:rPr>
          <w:rFonts w:ascii="Times New Roman" w:cs="Times New Roman" w:eastAsia="Times New Roman" w:hAnsi="Times New Roman"/>
          <w:sz w:val="14"/>
          <w:szCs w:val="14"/>
          <w:color w:val="auto"/>
        </w:rPr>
        <w:t>— As of December 31, 2025, the Company has several investments with an ownership interest percentage of 50% or less. GenConn is a VIE for which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Company is not the primary beneficiary. The Company’s pro-rata share of non-recourse debt held by unconsolidated affiliates was approximately $259 million as of December 31, 2025. This indebtedness may restrict the ability of these subsidiaries to issue dividends or distributions to the Company. See also Item 15 —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Variable Interest Entities</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Commercial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Note 10</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and Note 15</w:t>
      </w:r>
      <w:r>
        <w:rPr>
          <w:rFonts w:ascii="Times New Roman" w:cs="Times New Roman" w:eastAsia="Times New Roman" w:hAnsi="Times New Roman"/>
          <w:sz w:val="14"/>
          <w:szCs w:val="14"/>
          <w:i w:val="1"/>
          <w:iCs w:val="1"/>
          <w:color w:val="auto"/>
        </w:rPr>
        <w:t>, Leases,</w:t>
      </w:r>
      <w:r>
        <w:rPr>
          <w:rFonts w:ascii="Times New Roman" w:cs="Times New Roman" w:eastAsia="Times New Roman" w:hAnsi="Times New Roman"/>
          <w:sz w:val="14"/>
          <w:szCs w:val="14"/>
          <w:color w:val="auto"/>
        </w:rPr>
        <w:t xml:space="preserve"> for additional discussion.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By Remaining Maturity at December 31,</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Contractual Cash Obligations</w:t>
            </w:r>
          </w:p>
        </w:tc>
        <w:tc>
          <w:tcPr>
            <w:tcW w:w="240" w:type="dxa"/>
            <w:vAlign w:val="bottom"/>
          </w:tcPr>
          <w:p>
            <w:pPr>
              <w:spacing w:after="0"/>
              <w:rPr>
                <w:sz w:val="8"/>
                <w:szCs w:val="8"/>
                <w:color w:val="auto"/>
              </w:rPr>
            </w:pPr>
          </w:p>
        </w:tc>
        <w:tc>
          <w:tcPr>
            <w:tcW w:w="900" w:type="dxa"/>
            <w:vAlign w:val="bottom"/>
            <w:gridSpan w:val="2"/>
          </w:tcPr>
          <w:p>
            <w:pPr>
              <w:ind w:left="140"/>
              <w:spacing w:after="0" w:line="102" w:lineRule="exact"/>
              <w:rPr>
                <w:sz w:val="20"/>
                <w:szCs w:val="20"/>
                <w:color w:val="auto"/>
              </w:rPr>
            </w:pPr>
            <w:r>
              <w:rPr>
                <w:rFonts w:ascii="Times New Roman" w:cs="Times New Roman" w:eastAsia="Times New Roman" w:hAnsi="Times New Roman"/>
                <w:sz w:val="11"/>
                <w:szCs w:val="11"/>
                <w:b w:val="1"/>
                <w:bCs w:val="1"/>
                <w:color w:val="auto"/>
              </w:rPr>
              <w:t>Under</w:t>
            </w:r>
          </w:p>
        </w:tc>
        <w:tc>
          <w:tcPr>
            <w:tcW w:w="200" w:type="dxa"/>
            <w:vAlign w:val="bottom"/>
          </w:tcPr>
          <w:p>
            <w:pPr>
              <w:spacing w:after="0"/>
              <w:rPr>
                <w:sz w:val="8"/>
                <w:szCs w:val="8"/>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1-3 Years</w:t>
            </w:r>
          </w:p>
        </w:tc>
        <w:tc>
          <w:tcPr>
            <w:tcW w:w="100" w:type="dxa"/>
            <w:vAlign w:val="bottom"/>
          </w:tcPr>
          <w:p>
            <w:pPr>
              <w:spacing w:after="0"/>
              <w:rPr>
                <w:sz w:val="8"/>
                <w:szCs w:val="8"/>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3-5 Years</w:t>
            </w:r>
          </w:p>
        </w:tc>
        <w:tc>
          <w:tcPr>
            <w:tcW w:w="300" w:type="dxa"/>
            <w:vAlign w:val="bottom"/>
          </w:tcPr>
          <w:p>
            <w:pPr>
              <w:spacing w:after="0"/>
              <w:rPr>
                <w:sz w:val="8"/>
                <w:szCs w:val="8"/>
                <w:color w:val="auto"/>
              </w:rPr>
            </w:pPr>
          </w:p>
        </w:tc>
        <w:tc>
          <w:tcPr>
            <w:tcW w:w="840" w:type="dxa"/>
            <w:vAlign w:val="bottom"/>
            <w:gridSpan w:val="2"/>
          </w:tcPr>
          <w:p>
            <w:pPr>
              <w:jc w:val="center"/>
              <w:ind w:right="400"/>
              <w:spacing w:after="0" w:line="102" w:lineRule="exact"/>
              <w:rPr>
                <w:sz w:val="20"/>
                <w:szCs w:val="20"/>
                <w:color w:val="auto"/>
              </w:rPr>
            </w:pPr>
            <w:r>
              <w:rPr>
                <w:rFonts w:ascii="Times New Roman" w:cs="Times New Roman" w:eastAsia="Times New Roman" w:hAnsi="Times New Roman"/>
                <w:sz w:val="11"/>
                <w:szCs w:val="11"/>
                <w:b w:val="1"/>
                <w:bCs w:val="1"/>
                <w:color w:val="auto"/>
              </w:rPr>
              <w:t>Over</w:t>
            </w:r>
          </w:p>
        </w:tc>
        <w:tc>
          <w:tcPr>
            <w:tcW w:w="260" w:type="dxa"/>
            <w:vAlign w:val="bottom"/>
          </w:tcPr>
          <w:p>
            <w:pPr>
              <w:spacing w:after="0"/>
              <w:rPr>
                <w:sz w:val="8"/>
                <w:szCs w:val="8"/>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8"/>
                <w:szCs w:val="8"/>
                <w:color w:val="auto"/>
              </w:rPr>
            </w:pPr>
          </w:p>
        </w:tc>
        <w:tc>
          <w:tcPr>
            <w:tcW w:w="800" w:type="dxa"/>
            <w:vAlign w:val="bottom"/>
            <w:vMerge w:val="restart"/>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ind w:left="140"/>
              <w:spacing w:after="0" w:line="117" w:lineRule="exact"/>
              <w:rPr>
                <w:sz w:val="20"/>
                <w:szCs w:val="20"/>
                <w:color w:val="auto"/>
              </w:rPr>
            </w:pPr>
            <w:r>
              <w:rPr>
                <w:rFonts w:ascii="Times New Roman" w:cs="Times New Roman" w:eastAsia="Times New Roman" w:hAnsi="Times New Roman"/>
                <w:sz w:val="11"/>
                <w:szCs w:val="11"/>
                <w:b w:val="1"/>
                <w:bCs w:val="1"/>
                <w:color w:val="auto"/>
              </w:rPr>
              <w:t>1 Year</w:t>
            </w: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5 Years</w:t>
            </w:r>
          </w:p>
        </w:tc>
        <w:tc>
          <w:tcPr>
            <w:tcW w:w="2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(including estimated interest)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Other liabilities </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15" w:lineRule="exact"/>
        <w:rPr>
          <w:sz w:val="20"/>
          <w:szCs w:val="20"/>
          <w:color w:val="auto"/>
        </w:rPr>
      </w:pPr>
    </w:p>
    <w:p>
      <w:pPr>
        <w:ind w:left="140" w:hanging="135"/>
        <w:spacing w:after="0"/>
        <w:tabs>
          <w:tab w:leader="none" w:pos="14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Includes water right agreements, service and maintenance agreements and LTSA commitments.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Acquisitions and Investments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8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Pine Forest Drop Down </w:t>
      </w:r>
      <w:r>
        <w:rPr>
          <w:rFonts w:ascii="Times New Roman" w:cs="Times New Roman" w:eastAsia="Times New Roman" w:hAnsi="Times New Roman"/>
          <w:sz w:val="14"/>
          <w:szCs w:val="14"/>
          <w:color w:val="auto"/>
        </w:rPr>
        <w:t>— On June 10, 2025, the Company, through its indirect subsidiary, Pine Forest CE Class A Owner LLC, acquired the Class A membership interests in Pine Forest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TargetCo, a partnership and the indirect owner of the Pine Forest solar and BESS facility, from Clearway Renew for initial cash consideration of $18 million. Also on June 10, 2025, Clearway, Inc., through its indirect subsidiary, Pine Forest TE Class A, contributed $9 million to acquire the Class A membership interests in Pine Forest TE HoldCo LLC. On December 17, 2025, when Pine Forest reached substantial completion, the Company paid $50 million to Clearway Renew as an additional purchase price and Clearway, Inc., through Pine Forest TE Class A, contributed an additional $38 million for its Class A membership interests in Pine Forest TE HoldCo LLC. Pine Forest has PPAs for the solar facility with investment-grade counterparties and a 20-year weighted average contract duration that commenced in December 2025. The acquisition was funded with existing sources of liquidity. As part of the acquisition of Pine Forest, the Company assumed the facility’s financing agreement, which included a construction loan, a cash equity bridge loan, a tax equity bridge loan and a tax credit transfer bridge loan. Upon the facility reaching substantial completion, the third-party cash equity investor contributed $144 million and CEG contributed $49 million, which were utilized, along with the $9 million previously held in escrow, to repay the cash equity bridge loan, to repay the tax equity bridge loan, to partially repay the tax credit transfer bridge loan, to fund construction completion reserves and to pay associated fees. Additionally, on December 17, 2025, the outstanding construction loans were converted to a term loan. Subsequent to the acquisition during 2025, the Company borrowed an additional $52 million in cash equity bridge loans. The Company’s total capital investment in Pine Forest TargetCo was $68 million.</w:t>
      </w:r>
    </w:p>
    <w:p>
      <w:pPr>
        <w:spacing w:after="0" w:line="10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connection with the Pine Forest solar and BESS facility reaching substantial completion, on December 17, 2025, the Company issued a loan to Clearway Energy Finance Inc., a subsidiary of Clearway, Inc., in the amount of $22 million in order to partially fund Pine Forest TE Class A’s additional contribution. As of December 31, 2025, the full $22 million remained outstanding.</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January 2026, the Company repaid the $231 million outstanding on the tax credit transfer bridge loan utilizing the proceeds received from the sale of transferable ITCs, and distributed the remaining $51 million to CEG.</w:t>
      </w:r>
    </w:p>
    <w:p>
      <w:pPr>
        <w:spacing w:after="0" w:line="8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Goat Mountain Development Services Agreement </w:t>
      </w:r>
      <w:r>
        <w:rPr>
          <w:rFonts w:ascii="Times New Roman" w:cs="Times New Roman" w:eastAsia="Times New Roman" w:hAnsi="Times New Roman"/>
          <w:sz w:val="14"/>
          <w:szCs w:val="14"/>
          <w:color w:val="auto"/>
        </w:rPr>
        <w:t>— On July 23, 2025, the Company entered into a development services agreement with Clearway Renew in connection with the repowering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Goat Mountain wind facility. The Company estimates that its total capital investment in the Goat Mountain repowering will be $200 million, subject to closing adjustments. Contingent upon achieving repowering commercial operations in 2027, the 360 MW facility will sell power to an investment-grade counterparty under a new 15-year PPA. In connection with the agreement, on December 12, 2025, the Company paid Clearway Renew $27 million, primarily related to the future delivery of equipment.</w:t>
      </w:r>
    </w:p>
    <w:p>
      <w:pPr>
        <w:spacing w:after="0" w:line="95"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Honeycomb Portfolio Drop Down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October 15, 2025, the Company, through its indirect subsidiary, Honeycomb 1 Holdco LLC, acquired Honeycomb TargetCo, the indirect owner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Honeycomb Portfolio, from Clearway Renew for initial cash consideration of $16 million. At substantial completion, which is expected to occur in the first half of 2026, the Company estimates it will pay an additional $62 million to Clearway Renew. The Honeycomb Portfolio has 20-year PPAs with an investment-grade utility that will commence when the underlying operating assets reach commercial operations, which is expected to occur in the first half of 2026. The acquisition was funded with existing sources of liquidity. As part of the acquisition of the Honeycomb Portfolio, the Company assumed the facility’s financing agreement, which included a construction loan that converts to a term loan when the facility reaches substantial completion and a tax equity bridge loan, which will be completely paid off when the facility reaches substantial completion utilizing the proceeds from the Company’s additional purchase price and final proceeds received from the tax equity investor, along with their initial contribution at acquisition date that is being held in escrow. Subsequent to the acquisition during 2025, the Company borrowed an additional $38 million in construction loans through December 31, 2025. The Company estimates that its total capital investment in Honeycomb TargetCo will be $78 million, excluding the impact of any closing adjustments noted in the purchase agreement.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5" w:name="page56"/>
    <w:bookmarkEnd w:id="55"/>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Daggett 1 Drop Down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April 29, 2025, the Company, through its indirect subsidiary, LV-Daggett Parent Holdco LLC, acquired Daggett 1 Class B, the indirect owner of the Daggett 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BESS facility, from Clearway Renew for initial cash consideration of $11 million. On September 19, 2025, when the facility reached substantial completion, the Company paid $42 million to Clearway Renew as additional purchase price. Daggett 1 has a PPA for capacity with an investment-grade counterparty for a contract duration of 15 years that commenced in September 2025. The acquisition was funded with existing sources of liquidity. As part of the acquisition of Daggett 1, the Company assumed the facility’s financing agreement, which included a construction loan and a tax equity bridge loan. Upon the facility reaching substantial completion, the tax equity investor contributed an additional $108 million, which was utilized along with the $38 million previously held in escrow and $31 million in construction loan proceeds, to repay the tax equity bridge loan, to fund construction completion reserves and to pay associated fees with the remaining proceeds distributed to CEG. Also at substantial completion, the outstanding construction loans were converted to a term loan. Subsequent to the acquisition during 2025, the Company borrowed an additional $40 million in construction loans. On October 15, 2025, the Company paid $4 million to Clearway Renew as a final purchase price adjustment. The Company’s total capital investment in Daggett 1 Class B was $57 million.</w:t>
      </w:r>
    </w:p>
    <w:p>
      <w:pPr>
        <w:spacing w:after="0" w:line="104"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Luna Valley Drop Down </w:t>
      </w:r>
      <w:r>
        <w:rPr>
          <w:rFonts w:ascii="Times New Roman" w:cs="Times New Roman" w:eastAsia="Times New Roman" w:hAnsi="Times New Roman"/>
          <w:sz w:val="14"/>
          <w:szCs w:val="14"/>
          <w:color w:val="auto"/>
        </w:rPr>
        <w:t>— On April 29, 2025, the Company, through its indirect subsidiary, LV-Daggett Parent Holdco LLC, acquired Luna Valley Class B, the indirect owner of the Luna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Valley solar facility, from Clearway Renew for initial cash consideration of $18 million. On September 4, 2025, when the facility reached substantial completion, the Company paid $72 million to Clearway Renew as additional purchase price. Luna Valley has PPAs with investment-grade counterparties that have a 17-year weighted average contract duration that commenced in August 2025. The acquisition was funded with existing sources of liquidity. As part of the acquisition of Luna Valley, the Company assumed the facility’s financing agreement, which included a construction loan, a cash equity bridge loan that was partially paid off at acquisition date and a tax equity bridge loan. Upon the facility reaching substantial completion, the tax equity investor contributed an additional $114 million and CEG contributed $50 million, which were utilized, along with the $29 million previously held in escrow and $28 million in construction loan proceeds, to repay the cash equity bridge loan, to repay the tax equity bridge loan, to fund construction completion reserves and to pay associated fees. Also at substantial completion, the outstanding construction loans were converted to a term loan. Subsequent to the acquisition during 2025, the Company borrowed an additional $51 million in construction loans. On October 15, 2025, the Company paid $29 million to Clearway Renew as a final purchase price adjustment. The Company’s total capital investment in Luna Valley Class B was $119 million.</w:t>
      </w:r>
    </w:p>
    <w:p>
      <w:pPr>
        <w:spacing w:after="0" w:line="104"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Rosamond South I Drop Down </w:t>
      </w:r>
      <w:r>
        <w:rPr>
          <w:rFonts w:ascii="Times New Roman" w:cs="Times New Roman" w:eastAsia="Times New Roman" w:hAnsi="Times New Roman"/>
          <w:sz w:val="14"/>
          <w:szCs w:val="14"/>
          <w:color w:val="auto"/>
        </w:rPr>
        <w:t>— On March 20, 2025, the Company, through its indirect subsidiary, Rosamond South Investment LLC, acquired the Class A membership interests in Rosie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South TargetCo, a partnership and the indirect owner of the Rosamond South I solar and BESS facility, from Clearway Renew for initial cash consideration of $4 million. On August 13, 2025, when the facility reached substantial completion, the Company paid $29 million to Clearway Renew as additional purchase price. Rosamond South I has PPAs with investment-grade counterparties that have a 15-year weighted average contract duration that commence when the underlying operating assets reach commercial operations. The acquisition was funded with existing sources of liquidity. As part of the acquisition of Rosamond South I, the Company assumed the facility’s financing agreement, which included a construction loan, a cash equity bridge loan that was paid off at acquisition date and a tax equity bridge loan. Upon the facility reaching substantial completion, the third-party cash equity investor contributed an additional $41 million and the tax equity investor contributed an additional $226 million, which were utilized, along with the $58 million previously held in escrow and $13 million in construction loan proceeds, to repay the tax equity bridge loan, to fund construction completion reserves and to pay associated fees with the remaining proceeds distributed to CEG. Also at substantial completion, the outstanding construction loans were converted to a term loan. Subsequent to the acquisition during 2025, the Company borrowed an additional $49 million in construction loans and also received $46 million in contributions from CEG to pay for construction completion expenses. The Company’s total capital investment in Rosie South TargetCo was $33 million.</w:t>
      </w:r>
    </w:p>
    <w:p>
      <w:pPr>
        <w:spacing w:after="0" w:line="10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212529"/>
        </w:rPr>
        <w:t xml:space="preserve">Catalina Solar Acquisition </w:t>
      </w:r>
      <w:r>
        <w:rPr>
          <w:rFonts w:ascii="Times New Roman" w:cs="Times New Roman" w:eastAsia="Times New Roman" w:hAnsi="Times New Roman"/>
          <w:sz w:val="14"/>
          <w:szCs w:val="14"/>
          <w:color w:val="000000"/>
        </w:rPr>
        <w:t>— On July 16, 2025, the Company, through its indirect subsidiary, Catalina Solar Investment LLC, acquired Catalina Solar Lessee Holdco LLC, which leases and</w:t>
      </w:r>
      <w:r>
        <w:rPr>
          <w:rFonts w:ascii="Times New Roman" w:cs="Times New Roman" w:eastAsia="Times New Roman" w:hAnsi="Times New Roman"/>
          <w:sz w:val="14"/>
          <w:szCs w:val="14"/>
          <w:i w:val="1"/>
          <w:iCs w:val="1"/>
          <w:color w:val="212529"/>
        </w:rPr>
        <w:t xml:space="preserve"> </w:t>
      </w:r>
      <w:r>
        <w:rPr>
          <w:rFonts w:ascii="Times New Roman" w:cs="Times New Roman" w:eastAsia="Times New Roman" w:hAnsi="Times New Roman"/>
          <w:sz w:val="14"/>
          <w:szCs w:val="14"/>
          <w:color w:val="000000"/>
        </w:rPr>
        <w:t>operates the Catalina solar facility, from a third-party for approximately $127 million, which excludes $1 million in transaction expenses incurred in connection with the acquisition. Catalina reached commercial operations in 2013 and has a PPA with an investment-grade utility through 2038. The acquisition was funded with existing sources of liquidity. After factoring in cash reserves acquired and transaction expenses, the Company’s net capital investment in Catalina was $128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6" w:name="page57"/>
    <w:bookmarkEnd w:id="56"/>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Dan’s Mountain Drop Down </w:t>
      </w:r>
      <w:r>
        <w:rPr>
          <w:rFonts w:ascii="Times New Roman" w:cs="Times New Roman" w:eastAsia="Times New Roman" w:hAnsi="Times New Roman"/>
          <w:sz w:val="14"/>
          <w:szCs w:val="14"/>
          <w:color w:val="auto"/>
        </w:rPr>
        <w:t>— On May 21, 2025, when the Dan’s Mountain wind facility reached substantial completion, the Company paid $36 million to Clearway Renew as additional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price in connection with the Company’s acquisition of the Class A membership interests in Dan’s Mountain TargetCo on November 18, 2024, which was funded with existing sources of liquidity.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third-party cash equity and tax equity investors, along with the Company’s entire additional purchase price, which was contributed back to the Company by CEG, and the $18 million previously held in escrow, to repay the tax equity bridge loan, to repay the cash equity bridge loan and to pay associated fees with the remaining proceeds distributed to CEG. Prior to substantial completion being reached, the Company borrowed an additional $18 million in tax equity bridge loans and also received $16 million in contributions from CEG to pay for construction completion expenses during 2025. The Company’s total capital investment in Dan’s Mountain TargetCo was $43 million.</w:t>
      </w:r>
    </w:p>
    <w:p>
      <w:pPr>
        <w:spacing w:after="0" w:line="101"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Tuolumne Wind Acquisition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April 29, 2025, the Company, through its indirect subsidiary, Washington Wind LLC, acquired the Tuolumne wind facility from an investment-grade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regulated entity for approximately $210 million, which excludes $1 million in transaction expenses incurred in connection with the acquisition.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acquisition was funded with the borrowings under the new financing agreement, as well as existing sources of liquidity. The Company’s net capital investment in Tuolumne was $59 million. In connection with the acquisition, the Company entered into a development services agreement with Clearway Renew related to a potential repowering of the facility. In February 2026, the Company approved the commencement of the Tuolumne repowering. The Company estimates that its total capital investment in the Tuolumne repowering will be $80 million, subject to closing adjustments. Contingent upon achieving commercial operations in 2027, the 137 MW facility will sell power under its existing PPA with an investment-grade regulated entity for an additional two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Cash Distributions to Clearway, Inc.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Company’s assets. Distributions on units </w:t>
      </w:r>
      <w:r>
        <w:rPr>
          <w:rFonts w:ascii="Times New Roman" w:cs="Times New Roman" w:eastAsia="Times New Roman" w:hAnsi="Times New Roman"/>
          <w:sz w:val="14"/>
          <w:szCs w:val="14"/>
          <w:color w:val="000000"/>
        </w:rPr>
        <w:t>are subject to available capital, market conditions and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compliance with associated laws, regulations and other contractual obligations. The Company expects that, based on current circumstances, comparable distributions will continue to be paid in the foreseeable future.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distributions paid on the Company’s Class A, Class B, Class C and Class D units during the year ended December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2025</w:t>
            </w: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2025</w:t>
            </w:r>
          </w:p>
        </w:tc>
        <w:tc>
          <w:tcPr>
            <w:tcW w:w="12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2025</w:t>
            </w:r>
          </w:p>
        </w:tc>
        <w:tc>
          <w:tcPr>
            <w:tcW w:w="140" w:type="dxa"/>
            <w:vAlign w:val="bottom"/>
          </w:tcPr>
          <w:p>
            <w:pPr>
              <w:spacing w:after="0"/>
              <w:rPr>
                <w:sz w:val="13"/>
                <w:szCs w:val="13"/>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First Quarter 2025</w:t>
            </w:r>
          </w:p>
        </w:tc>
      </w:tr>
      <w:tr>
        <w:trPr>
          <w:trHeight w:val="180"/>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0.4312</w:t>
            </w:r>
          </w:p>
        </w:tc>
      </w:tr>
      <w:tr>
        <w:trPr>
          <w:trHeight w:val="18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0.4312</w:t>
            </w: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February 17, 2026, the Company declared a quarterly distribution on its Class A, Class B, Class C and Class D units of $0.4602 per unit payable on March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reflect the changes in cash flows for the comparative periods: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60" w:type="dxa"/>
            <w:vAlign w:val="bottom"/>
          </w:tcPr>
          <w:p>
            <w:pPr>
              <w:spacing w:after="0"/>
              <w:rPr>
                <w:sz w:val="13"/>
                <w:szCs w:val="13"/>
                <w:color w:val="auto"/>
              </w:rPr>
            </w:pPr>
          </w:p>
        </w:tc>
        <w:tc>
          <w:tcPr>
            <w:tcW w:w="258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7360" w:type="dxa"/>
            <w:vAlign w:val="bottom"/>
          </w:tcPr>
          <w:p>
            <w:pPr>
              <w:spacing w:after="0"/>
              <w:rPr>
                <w:sz w:val="13"/>
                <w:szCs w:val="13"/>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0"/>
        </w:trPr>
        <w:tc>
          <w:tcPr>
            <w:tcW w:w="7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680</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4"/>
                <w:szCs w:val="14"/>
                <w:color w:val="auto"/>
              </w:rPr>
              <w:t>772</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(825)</w:t>
            </w:r>
          </w:p>
        </w:tc>
        <w:tc>
          <w:tcPr>
            <w:tcW w:w="280" w:type="dxa"/>
            <w:vAlign w:val="bottom"/>
          </w:tcPr>
          <w:p>
            <w:pPr>
              <w:spacing w:after="0"/>
              <w:rPr>
                <w:sz w:val="15"/>
                <w:szCs w:val="15"/>
                <w:color w:val="auto"/>
              </w:rPr>
            </w:pPr>
          </w:p>
        </w:tc>
        <w:tc>
          <w:tcPr>
            <w:tcW w:w="1020" w:type="dxa"/>
            <w:vAlign w:val="bottom"/>
          </w:tcPr>
          <w:p>
            <w:pPr>
              <w:jc w:val="center"/>
              <w:ind w:left="595"/>
              <w:spacing w:after="0"/>
              <w:rPr>
                <w:sz w:val="20"/>
                <w:szCs w:val="20"/>
                <w:color w:val="auto"/>
              </w:rPr>
            </w:pPr>
            <w:r>
              <w:rPr>
                <w:rFonts w:ascii="Times New Roman" w:cs="Times New Roman" w:eastAsia="Times New Roman" w:hAnsi="Times New Roman"/>
                <w:sz w:val="14"/>
                <w:szCs w:val="14"/>
                <w:color w:val="auto"/>
              </w:rPr>
              <w:t>(725)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230</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4"/>
                <w:szCs w:val="14"/>
                <w:color w:val="auto"/>
              </w:rPr>
              <w:t>(365)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371"/>
        </w:trPr>
        <w:tc>
          <w:tcPr>
            <w:tcW w:w="73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4"/>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tc>
        <w:tc>
          <w:tcPr>
            <w:tcW w:w="8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Buy-out of the Mt. Storm commodity contract in 2025</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7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operating income after adjusting for non-cash items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distributions from unconsolidated affiliates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7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Increase in working capital primarily driven by the timing of accounts receivable collections and payments of accounts payable</w:t>
            </w:r>
          </w:p>
        </w:tc>
        <w:tc>
          <w:tcPr>
            <w:tcW w:w="8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6"/>
        </w:trPr>
        <w:tc>
          <w:tcPr>
            <w:tcW w:w="7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ectPr>
          <w:pgSz w:w="11900" w:h="16838" w:orient="portrait"/>
          <w:cols w:equalWidth="0" w:num="1">
            <w:col w:w="11280"/>
          </w:cols>
          <w:pgMar w:left="300" w:top="728" w:right="319" w:bottom="1440" w:gutter="0" w:footer="0" w:header="0"/>
        </w:sectPr>
      </w:pP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Cash paid for third-party acquisitions, net of cash acquired, in 2025</w:t>
      </w:r>
    </w:p>
    <w:p>
      <w:pPr>
        <w:spacing w:after="0" w:line="23" w:lineRule="exact"/>
        <w:rPr>
          <w:sz w:val="20"/>
          <w:szCs w:val="20"/>
          <w:color w:val="auto"/>
        </w:rPr>
      </w:pPr>
    </w:p>
    <w:p>
      <w:pPr>
        <w:ind w:left="100" w:right="3044"/>
        <w:spacing w:after="0" w:line="268" w:lineRule="auto"/>
        <w:rPr>
          <w:sz w:val="20"/>
          <w:szCs w:val="20"/>
          <w:color w:val="auto"/>
        </w:rPr>
      </w:pPr>
      <w:r>
        <w:rPr>
          <w:rFonts w:ascii="Times New Roman" w:cs="Times New Roman" w:eastAsia="Times New Roman" w:hAnsi="Times New Roman"/>
          <w:sz w:val="14"/>
          <w:szCs w:val="14"/>
          <w:color w:val="auto"/>
        </w:rPr>
        <w:t>Repayment of note receivable – affiliate in 2024 related to the Rosie Class B loan issued to Clearway Renew Increase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61530" cy="114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right="2744"/>
        <w:spacing w:after="0" w:line="268" w:lineRule="auto"/>
        <w:rPr>
          <w:sz w:val="20"/>
          <w:szCs w:val="20"/>
          <w:color w:val="auto"/>
        </w:rPr>
      </w:pPr>
      <w:r>
        <w:rPr>
          <w:rFonts w:ascii="Times New Roman" w:cs="Times New Roman" w:eastAsia="Times New Roman" w:hAnsi="Times New Roman"/>
          <w:sz w:val="14"/>
          <w:szCs w:val="14"/>
          <w:color w:val="auto"/>
        </w:rPr>
        <w:t>Payment for equipment deposit and asset purchase from affiliate in 2025 related to the Goat Mountain repowering Decrease in the 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61530" cy="114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Increase in note receivable – affiliate in 2025 related to the loan issued to Clearway Energy Finance Inc.</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cash paid for Drop Down Assets,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Proceeds from transfer of assets in 2025 related to the Mt. Storm sale</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(Used In) Financing Activities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96"/>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916" w:hanging="916"/>
        <w:spacing w:after="0"/>
        <w:tabs>
          <w:tab w:leader="none" w:pos="9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(324)</w:t>
      </w:r>
    </w:p>
    <w:p>
      <w:pPr>
        <w:spacing w:after="0" w:line="23" w:lineRule="exact"/>
        <w:rPr>
          <w:rFonts w:ascii="Times New Roman" w:cs="Times New Roman" w:eastAsia="Times New Roman" w:hAnsi="Times New Roman"/>
          <w:sz w:val="14"/>
          <w:szCs w:val="14"/>
          <w:color w:val="auto"/>
        </w:rPr>
      </w:pPr>
    </w:p>
    <w:p>
      <w:pPr>
        <w:ind w:left="91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(184)</w:t>
      </w:r>
    </w:p>
    <w:p>
      <w:pPr>
        <w:spacing w:after="0" w:line="19" w:lineRule="exact"/>
        <w:rPr>
          <w:rFonts w:ascii="Times New Roman" w:cs="Times New Roman" w:eastAsia="Times New Roman" w:hAnsi="Times New Roman"/>
          <w:sz w:val="14"/>
          <w:szCs w:val="14"/>
          <w:color w:val="auto"/>
        </w:rPr>
      </w:pPr>
    </w:p>
    <w:p>
      <w:pPr>
        <w:ind w:left="9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pacing w:after="0" w:line="19" w:lineRule="exact"/>
        <w:rPr>
          <w:rFonts w:ascii="Times New Roman" w:cs="Times New Roman" w:eastAsia="Times New Roman" w:hAnsi="Times New Roman"/>
          <w:sz w:val="14"/>
          <w:szCs w:val="14"/>
          <w:color w:val="auto"/>
        </w:rPr>
      </w:pPr>
    </w:p>
    <w:p>
      <w:pPr>
        <w:ind w:left="9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w:t>
      </w:r>
    </w:p>
    <w:p>
      <w:pPr>
        <w:spacing w:after="0" w:line="19" w:lineRule="exact"/>
        <w:rPr>
          <w:rFonts w:ascii="Times New Roman" w:cs="Times New Roman" w:eastAsia="Times New Roman" w:hAnsi="Times New Roman"/>
          <w:sz w:val="14"/>
          <w:szCs w:val="14"/>
          <w:color w:val="auto"/>
        </w:rPr>
      </w:pPr>
    </w:p>
    <w:p>
      <w:pPr>
        <w:ind w:left="9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w:t>
      </w:r>
    </w:p>
    <w:p>
      <w:pPr>
        <w:spacing w:after="0" w:line="19" w:lineRule="exact"/>
        <w:rPr>
          <w:rFonts w:ascii="Times New Roman" w:cs="Times New Roman" w:eastAsia="Times New Roman" w:hAnsi="Times New Roman"/>
          <w:sz w:val="14"/>
          <w:szCs w:val="14"/>
          <w:color w:val="auto"/>
        </w:rPr>
      </w:pPr>
    </w:p>
    <w:p>
      <w:pPr>
        <w:ind w:left="9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w:t>
      </w:r>
    </w:p>
    <w:p>
      <w:pPr>
        <w:spacing w:after="0" w:line="19" w:lineRule="exact"/>
        <w:rPr>
          <w:rFonts w:ascii="Times New Roman" w:cs="Times New Roman" w:eastAsia="Times New Roman" w:hAnsi="Times New Roman"/>
          <w:sz w:val="14"/>
          <w:szCs w:val="14"/>
          <w:color w:val="auto"/>
        </w:rPr>
      </w:pPr>
    </w:p>
    <w:p>
      <w:pPr>
        <w:ind w:left="97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360</w:t>
      </w:r>
    </w:p>
    <w:p>
      <w:pPr>
        <w:spacing w:after="0" w:line="19" w:lineRule="exact"/>
        <w:rPr>
          <w:rFonts w:ascii="Times New Roman" w:cs="Times New Roman" w:eastAsia="Times New Roman" w:hAnsi="Times New Roman"/>
          <w:sz w:val="14"/>
          <w:szCs w:val="14"/>
          <w:color w:val="auto"/>
        </w:rPr>
      </w:pPr>
    </w:p>
    <w:p>
      <w:pPr>
        <w:ind w:left="103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152</w:t>
      </w:r>
    </w:p>
    <w:p>
      <w:pPr>
        <w:spacing w:after="0" w:line="30" w:lineRule="exact"/>
        <w:rPr>
          <w:rFonts w:ascii="Times New Roman" w:cs="Times New Roman" w:eastAsia="Times New Roman" w:hAnsi="Times New Roman"/>
          <w:sz w:val="14"/>
          <w:szCs w:val="14"/>
          <w:color w:val="auto"/>
        </w:rPr>
      </w:pPr>
    </w:p>
    <w:p>
      <w:pPr>
        <w:ind w:left="111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80835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6" w:lineRule="exact"/>
        <w:rPr>
          <w:sz w:val="20"/>
          <w:szCs w:val="20"/>
          <w:color w:val="auto"/>
        </w:rPr>
      </w:pPr>
    </w:p>
    <w:p>
      <w:pPr>
        <w:ind w:left="916" w:hanging="916"/>
        <w:spacing w:after="0"/>
        <w:tabs>
          <w:tab w:leader="none" w:pos="9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80835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0835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80835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496" w:lineRule="exact"/>
        <w:rPr>
          <w:sz w:val="20"/>
          <w:szCs w:val="20"/>
          <w:color w:val="auto"/>
        </w:rPr>
      </w:pPr>
    </w:p>
    <w:p>
      <w:pPr>
        <w:sectPr>
          <w:pgSz w:w="11900" w:h="16838" w:orient="portrait"/>
          <w:cols w:equalWidth="0" w:num="2">
            <w:col w:w="9304" w:space="720"/>
            <w:col w:w="1256"/>
          </w:cols>
          <w:pgMar w:left="300" w:top="728"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to net cash provided by (used in) financing activities were driven by:</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10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payments for long-term debt and increase in proceeds from issuance of long-term debt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r>
      <w:tr>
        <w:trPr>
          <w:trHeight w:val="180"/>
        </w:trPr>
        <w:tc>
          <w:tcPr>
            <w:tcW w:w="10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revolving credit facility, net of payments in 2025</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180"/>
        </w:trPr>
        <w:tc>
          <w:tcPr>
            <w:tcW w:w="10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issuance of Class C units in connection with issuances under the ATM Program and DSPP in 2025</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10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payments of debt issuance costs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10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buyouts of noncontrolling interest and redeemable noncontrolling interest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10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contributions from noncontrolling interests, Clearway, Inc. and CEG, net of distributions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80"/>
        </w:trPr>
        <w:tc>
          <w:tcPr>
            <w:tcW w:w="10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Pro-rata distributions to Clearway, Inc. and CEG related to the Pine Forest Drop Down in 2025</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10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distributions paid to unit holders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10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100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20"/>
        </w:trPr>
        <w:tc>
          <w:tcPr>
            <w:tcW w:w="10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8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 Item 15</w:t>
      </w:r>
      <w:r>
        <w:rPr>
          <w:rFonts w:ascii="Times New Roman" w:cs="Times New Roman" w:eastAsia="Times New Roman" w:hAnsi="Times New Roman"/>
          <w:sz w:val="14"/>
          <w:szCs w:val="14"/>
          <w:color w:val="000000"/>
        </w:rPr>
        <w:t xml:space="preserve"> — Note 6</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Instruments.</w:t>
      </w:r>
    </w:p>
    <w:p>
      <w:pPr>
        <w:spacing w:after="0" w:line="211" w:lineRule="exact"/>
        <w:rPr>
          <w:sz w:val="20"/>
          <w:szCs w:val="20"/>
          <w:color w:val="auto"/>
        </w:rPr>
      </w:pPr>
    </w:p>
    <w:p>
      <w:pPr>
        <w:ind w:left="20"/>
        <w:spacing w:after="0"/>
        <w:tabs>
          <w:tab w:leader="none" w:pos="10400" w:val="left"/>
        </w:tabs>
        <w:rPr>
          <w:sz w:val="20"/>
          <w:szCs w:val="20"/>
          <w:color w:val="auto"/>
        </w:rPr>
      </w:pPr>
      <w:r>
        <w:rPr>
          <w:rFonts w:ascii="Times New Roman" w:cs="Times New Roman" w:eastAsia="Times New Roman" w:hAnsi="Times New Roman"/>
          <w:sz w:val="11"/>
          <w:szCs w:val="11"/>
          <w:b w:val="1"/>
          <w:bCs w:val="1"/>
          <w:u w:val="single" w:color="auto"/>
          <w:color w:val="auto"/>
        </w:rPr>
        <w:t>Derivative Activity Gains (Losses)</w:t>
      </w:r>
      <w:r>
        <w:rPr>
          <w:sz w:val="20"/>
          <w:szCs w:val="20"/>
          <w:color w:val="auto"/>
        </w:rPr>
        <w:tab/>
      </w:r>
      <w:r>
        <w:rPr>
          <w:rFonts w:ascii="Times New Roman" w:cs="Times New Roman" w:eastAsia="Times New Roman" w:hAnsi="Times New Roman"/>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2024</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Contracts realized or otherwise settled during the period</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Changes in fair value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u w:val="single" w:color="auto"/>
          <w:color w:val="auto"/>
        </w:rPr>
        <w:t>Fair Value Hierarchy Losses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5400" w:type="dxa"/>
        <w:tblCellMar>
          <w:top w:w="0" w:type="dxa"/>
          <w:left w:w="0" w:type="dxa"/>
          <w:bottom w:w="0" w:type="dxa"/>
          <w:right w:w="0" w:type="dxa"/>
        </w:tblCellMar>
      </w:tblPr>
      <w:tr>
        <w:trPr>
          <w:trHeight w:val="186"/>
        </w:trPr>
        <w:tc>
          <w:tcPr>
            <w:tcW w:w="46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80"/>
        </w:trPr>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4"/>
        </w:trPr>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1"/>
        </w:trPr>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-262255</wp:posOffset>
            </wp:positionV>
            <wp:extent cx="7161530" cy="11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Fair value of contracts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5036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50360" cy="6985"/>
                    </a:xfrm>
                    <a:prstGeom prst="rect">
                      <a:avLst/>
                    </a:prstGeom>
                    <a:noFill/>
                  </pic:spPr>
                </pic:pic>
              </a:graphicData>
            </a:graphic>
          </wp:anchor>
        </w:drawing>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Maturity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26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1 Year or Less</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1340" w:type="dxa"/>
            <w:vAlign w:val="bottom"/>
            <w:tcBorders>
              <w:top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Total Fair</w:t>
            </w:r>
          </w:p>
        </w:tc>
        <w:tc>
          <w:tcPr>
            <w:tcW w:w="0" w:type="dxa"/>
            <w:vAlign w:val="bottom"/>
          </w:tcPr>
          <w:p>
            <w:pPr>
              <w:spacing w:after="0"/>
              <w:rPr>
                <w:sz w:val="1"/>
                <w:szCs w:val="1"/>
                <w:color w:val="auto"/>
              </w:rPr>
            </w:pPr>
          </w:p>
        </w:tc>
      </w:tr>
      <w:tr>
        <w:trPr>
          <w:trHeight w:val="158"/>
        </w:trPr>
        <w:tc>
          <w:tcPr>
            <w:tcW w:w="1260" w:type="dxa"/>
            <w:vAlign w:val="bottom"/>
            <w:tcBorders>
              <w:bottom w:val="single" w:sz="8" w:color="auto"/>
            </w:tcBorders>
            <w:vMerge w:val="continue"/>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 Year to 3 Years</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3 Years to 5 Years</w:t>
            </w:r>
          </w:p>
        </w:tc>
        <w:tc>
          <w:tcPr>
            <w:tcW w:w="13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020" w:space="720"/>
            <w:col w:w="6540"/>
          </w:cols>
          <w:pgMar w:left="300" w:top="728"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9"/>
              </w:rPr>
              <w:t>51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w w:val="99"/>
              </w:rPr>
              <w:t>16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w w:val="95"/>
              </w:rPr>
              <w:t>116</w:t>
            </w:r>
          </w:p>
        </w:tc>
      </w:tr>
      <w:tr>
        <w:trPr>
          <w:trHeight w:val="18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Level 3</w:t>
            </w: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color w:val="auto"/>
                <w:w w:val="94"/>
              </w:rPr>
              <w:t>(94)</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w w:val="98"/>
              </w:rPr>
              <w:t>(320)</w:t>
            </w: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w w:val="94"/>
              </w:rPr>
              <w:t>(43)</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w w:val="98"/>
              </w:rPr>
              <w:t>(204)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has elected to disclose derivative assets and liabilities on a trade-by-trade basis and does not offset amounts at the counterparty master agreement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Company’s significant accounting policies are summarized in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accounting utilizing Hypothetical Liquidation at Book Value, or HLBV, and determining the fair value of financial instruments.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59" w:name="page60"/>
    <w:bookmarkEnd w:id="59"/>
    <w:tbl>
      <w:tblPr>
        <w:tblLayout w:type="fixed"/>
        <w:tblInd w:w="20" w:type="dxa"/>
        <w:tblCellMar>
          <w:top w:w="0" w:type="dxa"/>
          <w:left w:w="0" w:type="dxa"/>
          <w:bottom w:w="0" w:type="dxa"/>
          <w:right w:w="0" w:type="dxa"/>
        </w:tblCellMar>
      </w:tblPr>
      <w:tr>
        <w:trPr>
          <w:trHeight w:val="126"/>
        </w:trPr>
        <w:tc>
          <w:tcPr>
            <w:tcW w:w="5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Accounting Policy</w:t>
            </w:r>
          </w:p>
        </w:tc>
        <w:tc>
          <w:tcPr>
            <w:tcW w:w="5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Judgments/Uncertainties Affecting Application</w:t>
            </w:r>
          </w:p>
        </w:tc>
      </w:tr>
      <w:tr>
        <w:trPr>
          <w:trHeight w:val="22"/>
        </w:trPr>
        <w:tc>
          <w:tcPr>
            <w:tcW w:w="8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241"/>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Hypothetical Liquidation at Book Value (HLBV)</w:t>
            </w: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Estimates of taxable income (loss) and tax capital accounts</w:t>
            </w:r>
          </w:p>
        </w:tc>
      </w:tr>
      <w:tr>
        <w:trPr>
          <w:trHeight w:val="180"/>
        </w:trPr>
        <w:tc>
          <w:tcPr>
            <w:tcW w:w="8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Estimated calculation of specified target investor returns</w:t>
            </w:r>
          </w:p>
        </w:tc>
      </w:tr>
      <w:tr>
        <w:trPr>
          <w:trHeight w:val="180"/>
        </w:trPr>
        <w:tc>
          <w:tcPr>
            <w:tcW w:w="8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Application of liquidation provisions of operating agreements</w:t>
            </w:r>
          </w:p>
        </w:tc>
      </w:tr>
      <w:tr>
        <w:trPr>
          <w:trHeight w:val="142"/>
        </w:trPr>
        <w:tc>
          <w:tcPr>
            <w:tcW w:w="5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Financial Instruments</w:t>
            </w:r>
          </w:p>
        </w:tc>
        <w:tc>
          <w:tcPr>
            <w:tcW w:w="5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Use of unobservable market inputs such as future electricity prices, future interest rates and</w:t>
            </w:r>
          </w:p>
        </w:tc>
      </w:tr>
      <w:tr>
        <w:trPr>
          <w:trHeight w:val="184"/>
        </w:trPr>
        <w:tc>
          <w:tcPr>
            <w:tcW w:w="8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discount rates</w:t>
            </w: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Hypothetical Liquidation at Book Value (HLBV)</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Certain portions of the Company’s redeemable noncontrolling interest in subsidiaries and noncontrolling interest represent third-party interests in the net assets under tax equity arrangements, which are consolidated by the Company, that were established to finance the cost of facilities eligible for certain tax credits and benefits. The Company has determined that the provisions in the contractual agreements of these redeemable noncontrolling interests and noncontrolling interests represent substantive profit sharing arrangements. Further, the Company has determined that the appropriate methodology for calculating the redeemable noncontrolling and noncontrolling interest that reflects the substantive profit sharing arrangements is a balance sheet approach utilizing the HLBV method. Under the HLBV method, the amounts reported as redeemable noncontrolling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operations using a systematic and rational method over the period during which the investor is expected to achieve its target return. In certain cases, the Company must apply judgment in determining the methodology for applying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operations.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natural gas prices, future interest rates and discount rates. As these inputs are based on estimates, fair values may not reflect the amounts actually realized from the related transaction.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Item 7A — Quantitative and Qualitative Disclosures About Market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color w:val="000000"/>
        </w:rPr>
        <w:t xml:space="preserve"> for more information.</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Based on a sensitivity analysis using simplified assumptions, the impact of a $0.50 per MWh increase or decrease in power prices across the term of the long-term power commodity contracts would cause a change of approximately $4 million to the net value of the related derivatives as of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color w:val="231F20"/>
        </w:rPr>
        <w:t>, for more information.</w:t>
      </w:r>
    </w:p>
    <w:p>
      <w:pPr>
        <w:spacing w:after="0" w:line="26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and most of its subsidiaries enter into interest rate swaps intended to hedge the risks associated with interest rates on non-recourse facility level debt or any potential refinancing of the Senior Notes.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for more information about interest rate swaps of the Company’s subsidiaries.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above swaps had been discontinued on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the counterparties would have owed the Company $116 million.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a 1% change in interest rates would result in an approximately $6 million change in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the fair value of the Company’s debt was $8,382 million and the carrying value was $8,676 million. The Company estimates that a 1% decrease in market interest rates would have increased the fair value of its long-term debt by $291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Times New Roman" w:cs="Times New Roman" w:eastAsia="Times New Roman" w:hAnsi="Times New Roman"/>
          <w:sz w:val="14"/>
          <w:szCs w:val="14"/>
          <w:color w:val="000000"/>
        </w:rPr>
        <w:t>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for more information about concentration of credit risk.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 Financial Statements and Supplementary Data</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financial statements and schedules are listed in Part IV, Item 15 of this Form 10-K.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Item 9 — Changes in and Disagreements with Accountants on Accounting and Financial Disclosure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previously reported in the Company’s Current Report on Form 8-K filed on May 10, 2024, the Audit Committee of the Board of Directors of Clearway, Inc. dismissed Ernst &amp; Young LLP as the Company’s independent registered public accounting firm and appointed PricewaterhouseCoopers LLP, an independent registered public accounting firm, to audit the consolidated financial statements of the Company and its subsidiaries for the fiscal year ended December 31, 2024. For more information, please refer to the Company’s Current Report on Form 8-K filed on May 10,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its principal financial officer and its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Company’s disclosure controls and procedures were not effective as of December 31, 2025, the end of the period covered by this Annual Report on Form 10-K, as a result of the material weakness in internal control over financial reporting identified during the fourth quarter of 2025, as described below.</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Notwithstanding the identified material weakness, as of the date of the filing of this Annual Report on Form 10-K, the Company’s management believes that the audited consolidated financial statements contained in this Annual Report on Form 10-K fairly present, in all material respects, the Company’s financial position, results of operations and cash flows for the periods presented and such financial statements are presented in accordance with GAAP.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Inherent Limitations over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internal control over financial reporting is a process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82" w:lineRule="exact"/>
        <w:rPr>
          <w:sz w:val="20"/>
          <w:szCs w:val="20"/>
          <w:color w:val="auto"/>
        </w:rPr>
      </w:pPr>
    </w:p>
    <w:p>
      <w:pPr>
        <w:ind w:left="460" w:hanging="137"/>
        <w:spacing w:after="0"/>
        <w:tabs>
          <w:tab w:leader="none" w:pos="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Company’s assets;</w:t>
      </w:r>
    </w:p>
    <w:p>
      <w:pPr>
        <w:spacing w:after="0" w:line="136" w:lineRule="exact"/>
        <w:rPr>
          <w:rFonts w:ascii="Times New Roman" w:cs="Times New Roman" w:eastAsia="Times New Roman" w:hAnsi="Times New Roman"/>
          <w:sz w:val="14"/>
          <w:szCs w:val="14"/>
          <w:color w:val="auto"/>
        </w:rPr>
      </w:pPr>
    </w:p>
    <w:p>
      <w:pPr>
        <w:ind w:firstLine="323"/>
        <w:spacing w:after="0" w:line="287" w:lineRule="auto"/>
        <w:tabs>
          <w:tab w:leader="none" w:pos="46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81" w:lineRule="exact"/>
        <w:rPr>
          <w:rFonts w:ascii="Times New Roman" w:cs="Times New Roman" w:eastAsia="Times New Roman" w:hAnsi="Times New Roman"/>
          <w:sz w:val="14"/>
          <w:szCs w:val="14"/>
          <w:color w:val="auto"/>
        </w:rPr>
      </w:pPr>
    </w:p>
    <w:p>
      <w:pPr>
        <w:ind w:firstLine="323"/>
        <w:spacing w:after="0" w:line="287" w:lineRule="auto"/>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consolidated financial statements.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Company’s management is responsible for establishing and maintaining adequate internal control over financial reporting, as such term is defined in Exchange Act Rule 13a-15(f) or 15d-15(f). Under the supervision and with the participation of the Company’s management, including its principal executive officer, its principal financial officer and its principal accounting officer, the Company conducted an evaluation of the effectiveness of the Company’s internal control over financial reporting as of December 31, 2025 using the criteria described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the Company’s annual or interim consolidated financial statements may not be prevented or detected on a timely basis.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62" w:name="page63"/>
    <w:bookmarkEnd w:id="62"/>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Based on the evaluation described above, the Company’s management identified a material weakness in its internal control over financial reporting due to ineffective controls over the review of certain calculations of hypothetical liquidation at book value (HLBV) accounting used to allocate net income (loss) to the Company’s redeemable noncontrolling interests and noncontrolling interests in tax equity partnerships. This material weakness resulted in immaterial errors in the previously issued Quarterly Reports on Form 10-Q for the interim periods within the fiscal year ended December 31, 2025, which is disclosed in Note 16, </w:t>
      </w:r>
      <w:r>
        <w:rPr>
          <w:rFonts w:ascii="Times New Roman" w:cs="Times New Roman" w:eastAsia="Times New Roman" w:hAnsi="Times New Roman"/>
          <w:sz w:val="14"/>
          <w:szCs w:val="14"/>
          <w:i w:val="1"/>
          <w:iCs w:val="1"/>
          <w:color w:val="auto"/>
        </w:rPr>
        <w:t>Revision of Previously Issued Unaudited Financial Information (Unaudited)</w:t>
      </w:r>
      <w:r>
        <w:rPr>
          <w:rFonts w:ascii="Times New Roman" w:cs="Times New Roman" w:eastAsia="Times New Roman" w:hAnsi="Times New Roman"/>
          <w:sz w:val="14"/>
          <w:szCs w:val="14"/>
          <w:color w:val="auto"/>
        </w:rPr>
        <w:t>. Additionally, the material weakness could result in misstatements of the aforementioned account balances that would result in a material misstatement of the Company’s annual or interim consolidated financial statements that would not be prevented or detected. As a result of the material weakness described above, management has concluded that the Company’s internal control over financial reporting was not effective as of December 31,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Weakness Remediation Plan and Activities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committed to addressing the material weakness described above and has begun to implement changes in processes designed to improve its internal control over financial reporting. To remediate the material weakness, the Company has implemented enhancements to its existing controls over the review of HLBV calculations used to allocate net income (loss) to the Company’s redeemable noncontrolling interests and noncontrolling interests in tax equity arrangements. These enhancements include (i) additional procedures to review the completeness and accuracy of key inputs and the mathematical accuracy of HLBV models during funding periods, (ii) the use of additional review tools to ensure that unique circumstances related to funding periods are reflected accurately and (iii) increased precision in the review of HLBV models, including specific procedures designed to identify and evaluate changes to the models subsequent to their initial setup, as well as additional levels of review for model updates, contract amendments and during funding periods. During the fourth quarter of 2025, the Company effectively operated the enhanced controls over the review of HLBV calculations.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Although the Company is in the process of remediating the material weakness and believes, based on its evaluation to date, that the material weakness will be remediated in a timely fashion, it cannot provide assurance that this will occur within a specific timeframe. The material weakness will not be remediated until all necessary internal controls have been tested and determined to be operating effectively for a sufficient period of time. In addition, the Company may need to take additional measures to address the material weakness or modify the planned remediation steps.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Other than the identified enhancements discussed in the “Material Weakness Remediation Plan and Activities” section above, there were no changes in the Company’s internal control over financial reporting (as such term is defined in Rule 13a-15(f) or 15d-15(f) under the Exchange Act) during the quarter ended December 31, 2025, that materially affected, or are reasonably likely to materially affect, the Company’s internal control over financial reporting.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 Other Information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2025,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 Information about Directors, Executive Officers and Corporate Governance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a limited liability company that is managed by Clearway, Inc., as its sole managing member. As a limited liability company managed by Clearway, Inc., the Company does not have a board of directors. References herein to the Company’s board of directors are references to the board of directors (the “Board of Directors”) of Clearway, Inc. Pursuant to the Fourth Amended and Restated Limited Liability Company Agreement of the Company, Clearway, Inc. has appointed officers of the Company and designated certain of such officers as “Executive Officers.” These executive officers are the same as the executive officers of Clearway, Inc.</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shows information for the Company’s executive officers. Executive officers serve until their successors are duly appointed or elected.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80" w:type="dxa"/>
            <w:vAlign w:val="bottom"/>
            <w:tcBorders>
              <w:bottom w:val="single" w:sz="8" w:color="auto"/>
            </w:tcBorders>
          </w:tcPr>
          <w:p>
            <w:pPr>
              <w:jc w:val="center"/>
              <w:ind w:left="976"/>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734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16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Craig Cornelius</w:t>
            </w:r>
          </w:p>
        </w:tc>
        <w:tc>
          <w:tcPr>
            <w:tcW w:w="1680" w:type="dxa"/>
            <w:vAlign w:val="bottom"/>
            <w:shd w:val="clear" w:color="auto" w:fill="CCEEFF"/>
          </w:tcPr>
          <w:p>
            <w:pPr>
              <w:jc w:val="center"/>
              <w:ind w:left="976"/>
              <w:spacing w:after="0"/>
              <w:rPr>
                <w:sz w:val="20"/>
                <w:szCs w:val="20"/>
                <w:color w:val="auto"/>
              </w:rPr>
            </w:pPr>
            <w:r>
              <w:rPr>
                <w:rFonts w:ascii="Times New Roman" w:cs="Times New Roman" w:eastAsia="Times New Roman" w:hAnsi="Times New Roman"/>
                <w:sz w:val="13"/>
                <w:szCs w:val="13"/>
                <w:color w:val="auto"/>
                <w:w w:val="91"/>
              </w:rPr>
              <w:t>46</w:t>
            </w:r>
          </w:p>
        </w:tc>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168"/>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Sarah Rubenstein</w:t>
            </w:r>
          </w:p>
        </w:tc>
        <w:tc>
          <w:tcPr>
            <w:tcW w:w="1680" w:type="dxa"/>
            <w:vAlign w:val="bottom"/>
          </w:tcPr>
          <w:p>
            <w:pPr>
              <w:jc w:val="center"/>
              <w:ind w:left="976"/>
              <w:spacing w:after="0"/>
              <w:rPr>
                <w:sz w:val="20"/>
                <w:szCs w:val="20"/>
                <w:color w:val="auto"/>
              </w:rPr>
            </w:pPr>
            <w:r>
              <w:rPr>
                <w:rFonts w:ascii="Times New Roman" w:cs="Times New Roman" w:eastAsia="Times New Roman" w:hAnsi="Times New Roman"/>
                <w:sz w:val="13"/>
                <w:szCs w:val="13"/>
                <w:color w:val="auto"/>
                <w:w w:val="91"/>
              </w:rPr>
              <w:t>48</w:t>
            </w:r>
          </w:p>
        </w:tc>
        <w:tc>
          <w:tcPr>
            <w:tcW w:w="73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Executive Vice President, Chief Financial Officer</w:t>
            </w:r>
          </w:p>
        </w:tc>
      </w:tr>
      <w:tr>
        <w:trPr>
          <w:trHeight w:val="17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Kevin P. Malcarney</w:t>
            </w:r>
          </w:p>
        </w:tc>
        <w:tc>
          <w:tcPr>
            <w:tcW w:w="1680" w:type="dxa"/>
            <w:vAlign w:val="bottom"/>
            <w:shd w:val="clear" w:color="auto" w:fill="CCEEFF"/>
          </w:tcPr>
          <w:p>
            <w:pPr>
              <w:jc w:val="center"/>
              <w:ind w:left="976"/>
              <w:spacing w:after="0"/>
              <w:rPr>
                <w:sz w:val="20"/>
                <w:szCs w:val="20"/>
                <w:color w:val="auto"/>
              </w:rPr>
            </w:pPr>
            <w:r>
              <w:rPr>
                <w:rFonts w:ascii="Times New Roman" w:cs="Times New Roman" w:eastAsia="Times New Roman" w:hAnsi="Times New Roman"/>
                <w:sz w:val="13"/>
                <w:szCs w:val="13"/>
                <w:color w:val="auto"/>
                <w:w w:val="91"/>
              </w:rPr>
              <w:t>59</w:t>
            </w:r>
          </w:p>
        </w:tc>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Executive Vice President, General Counsel and Corporate Secretary</w:t>
            </w:r>
          </w:p>
        </w:tc>
      </w:tr>
    </w:tbl>
    <w:p>
      <w:pPr>
        <w:spacing w:after="0" w:line="185"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Craig Cornelius </w:t>
      </w:r>
      <w:r>
        <w:rPr>
          <w:rFonts w:ascii="Times New Roman" w:cs="Times New Roman" w:eastAsia="Times New Roman" w:hAnsi="Times New Roman"/>
          <w:sz w:val="14"/>
          <w:szCs w:val="14"/>
          <w:color w:val="auto"/>
        </w:rPr>
        <w:t>has served as President and Chief Executive Officer of the Company since July 2024 and as a director of the Company since July 2024. He has been CEG’s chief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officer since its formation through a spin-out of NRG Energy, Inc.’s clean energy businesses in 2018. Previously, 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Mr. Cornelius is also a member of the board of directors of Sunrun Inc., where he also serves as a member of its audit committee and nominating, governance and sustainability committee. As President and Chief Executive Officer of the Company, Mr. Cornelius provides the Board of Directors with management’s perspective regarding the Company’s day to day operations and overall strategic plan.</w:t>
      </w:r>
    </w:p>
    <w:p>
      <w:pPr>
        <w:spacing w:after="0" w:line="101"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Sarah Rubenstein </w:t>
      </w:r>
      <w:r>
        <w:rPr>
          <w:rFonts w:ascii="Times New Roman" w:cs="Times New Roman" w:eastAsia="Times New Roman" w:hAnsi="Times New Roman"/>
          <w:sz w:val="14"/>
          <w:szCs w:val="14"/>
          <w:color w:val="auto"/>
        </w:rPr>
        <w:t>has served as Executive Vice President and Chief Financial Officer of the Company since April 2023 and previously served as Senior Vice President and Chief Accounting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99"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Kevin P. Malcarney </w:t>
      </w:r>
      <w:r>
        <w:rPr>
          <w:rFonts w:ascii="Times New Roman" w:cs="Times New Roman" w:eastAsia="Times New Roman" w:hAnsi="Times New Roman"/>
          <w:sz w:val="14"/>
          <w:szCs w:val="14"/>
          <w:color w:val="auto"/>
        </w:rPr>
        <w:t>has served as the Company’s General Counsel, Corporate Secretary and Chief Compliance Officer since May 2018, and was promoted from Senior Vice President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Vice President in January 2022. He was previously Vice President and Deputy General Counsel at NRG responsible for new businesses, mergers and acquisitions, divestitures and project financings, and managed a large team of lawyers that operated across all geographic regions and business areas of the company. Prior to NRG, Mr. Malcarney worked at two AmLaw 100 firms in Princeton, New Jersey and Philadelphia, Pennsylvania, and handled mergers and acquisitions, project financing and general corporate matters. Mr. Malcarney received his JD/MBA from Rutgers University School of Law, Camden, and his BBA in Marketing from the Wharton School, University of Pennsylvania.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not adopted a separate code of ethics because all of the officers of the Company are subject to the Code of Conduct adopted by the Board of Directors of Clearway, Inc. The Code of Conduct of Clearway, Inc. applies to all of its directors and employees, including its and the Company’s officers (e.g., the Company’s Chief Executive Officer (the “CEO”), Chief Financial Officer (the “CFO”) and Principal Accounting Officer). Clearway, Inc.’s Code of Conduct is available on its website,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has not adopted a separate insider trading policy because all of the officers, and certain other employees and insiders, of the Company are subject to the insider trading policy (the “Clearway, Inc. Insider Trading Policy”) adopted by the Board of Directors of Clearway, Inc., which governs the purchase, sale and/or other dispositions of our securities and the securities of Clearway, Inc. by insiders of the Company and Clearway, Inc. We believe the Clearway, Inc. Insider Trading Policy is reasonably designed to promote compliance with insider trading laws, rules and regulations. A copy of the Clearway, Inc. Insider Trading Policy is filed as Exhibit 19 to this Annual Report on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 Executive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Report</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The Company’s named executive officers are also named executive officers of Clearway, Inc., and the compensation of the named executive officers disclosed herein reflects total compensation for services with respect to Clearway, Inc. and all of its subsidiaries, including the Company. The Compensation Committee (the “Compensation Committee”) of the Board of Clearway, Inc. (the “Board”) has reviewed and discussed the Compensation Discussion and Analysis included in this Annual Report on Form 10-K required by Item 402(b) of Regulation S-K with management and, based upon such review and discussion, the Compensation Committee has recommended to the Board that the Compensation Discussion and Analysis be included in this Annual Report on Form 10-K.</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Compensation Committee: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 Stanley O’Neal,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Jonathan Bram</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Olivier Jouny</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Daniel B. More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Discussion and Analysis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Compensation Program</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Clearway, Inc. is a publicly-traded energy infrastructure investor with a focus on investments in clean energy and owner of modern, sustainable and long-term contracted assets across North America. The Company is sponsored by CEG, which holds all of Clearway, Inc.’s Class B common stock and Class D common stock and thus collectively have the majority voting interest in Clearway, Inc. This Compensation Discussion and Analysis (this “CD&amp;A”) describes the philosophy, elements, implementation and results of Clearway, Inc.’s 2025 executive compensation program as it applies to the executive team. As discussed above, Clearway, Inc.’s named executive officers are also named executive officers of Clearway Energy LLC, and the compensation of the named executive officers (“NEOs”) discussed below reflects total compensation for services with respect to Clearway, Inc. and all of its subsidiaries, including Clearway Energy LLC. In this CD&amp;A, the term “Company,” as well as the terms “our,” “we,” “us” or like terms, are used to refer to Clearway, Inc. and its consolidated subsidiaries, including Clearway Energy LLC and its consolidated subsidiaries.</w:t>
      </w:r>
    </w:p>
    <w:p>
      <w:pPr>
        <w:spacing w:after="0" w:line="273"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Compensation Committee’s objectives are to design a simple, yet competitive, executive compensation program for the Company, which is aligned with the interests of our stockholders. This program is designed to align our short-term and long-term compensation with the Company’s annual performance and three-year performance, respectively. Our annual incentive program (“AIP”) is primarily based on objective criteria that support the achievement of our short-term objectives, which we believe ultimately creates long-term stockholder value. Our long-term incentive awards, which are issued under our Amended and Restated 2013 Equity Incentive Plan (the “LTIP”), are comprised of (i) approximately 67% Performance Stock Units (“PSUs”), which vest based on the attainment of certain performance metrics described in the following sentence, and (ii) approximately 33% Restricted Stock Units (“RSUs”), which vest based on continued service over three years. With respect to the PSUs granted in 2025, approximately 50% of the PSUs vest based on our relative total stockholder return (“TSR”) measured over three years, and approximately 50% of the PSUs vest based on the growth of our average cash available for distribution (“CAFD”) on a per share basis measured over three years. The program is intended to incorporate many best practices in compensation design, while being tailored to our business needs and compensation objectives.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5" w:name="page66"/>
    <w:bookmarkEnd w:id="65"/>
    <w:p>
      <w:pPr>
        <w:jc w:val="both"/>
        <w:ind w:right="20" w:firstLine="318"/>
        <w:spacing w:after="0" w:line="261" w:lineRule="auto"/>
        <w:rPr>
          <w:sz w:val="20"/>
          <w:szCs w:val="20"/>
          <w:color w:val="auto"/>
        </w:rPr>
      </w:pPr>
      <w:r>
        <w:rPr>
          <w:rFonts w:ascii="Times New Roman" w:cs="Times New Roman" w:eastAsia="Times New Roman" w:hAnsi="Times New Roman"/>
          <w:sz w:val="14"/>
          <w:szCs w:val="14"/>
          <w:color w:val="auto"/>
        </w:rPr>
        <w:t>In 2025, the Compensation Committee reviewed and did not modify its general philosophy related to the compensation program. However, consistent with Mr. Cornelius’ status as an employee of CEG during 2024, the Company does not pay any cash compensation or provide employee benefits (other than LTIP payments) to Mr. Cornelius. Similarly, beginning in 2025, our other named executive officers (the “Other NEOs”), along with substantially all of the Company’s workforce, also became employees of CEG in 2025 and began receiving cash compensation and employee benefits (other than LTIP payments) from CEG (rather than the Company). Nonetheless, the Compensation Committee’s role with respect to our compensation program during 2025 remained consistent with its role in 2024.</w:t>
      </w:r>
    </w:p>
    <w:p>
      <w:pPr>
        <w:spacing w:after="0" w:line="101"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4"/>
          <w:szCs w:val="14"/>
          <w:color w:val="auto"/>
        </w:rPr>
        <w:t>Although the Company pays CEG the management fee pursuant to the Company’s management services arrangement with CEG, (i) the management fee is unaffected by any cash compensation or employee benefit amounts that CEG provides to Mr. Cornelius, and (ii) the Company does not otherwise pay or reimburse CEG for the foregoing cash compensation and employee benefits that are provided by CEG to Mr. Cornelius. With respect to the Other NEOs, the management fee is similarly unaffected by the cash compensation or employee benefit amounts that CEG provides to the Other NEOs, in that the management fee generally consists of a fixed amount that may be adjusted under limited circumstances. However, as part of the process of establishing the management fee in 2025, the management services agreement was amended to increase the management fee, to account for, in part, CEG’s increased payroll costs as a result of the transition of substantially all of CWEN’s workforce to CEG in 2025 (the “Payroll Component”). While CEG’s payroll costs with respect to Mr. Cornelius are not reflected in the Payroll Component, the Company could be viewed under the Payroll Component as bearing certain of CEG’s payroll costs with respect to the cash compensation and employee benefits that the Other NEOs receive from CEG.</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set forth the payor of each primary element of the NEOs’ compensation:</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6000" w:type="dxa"/>
            <w:vAlign w:val="bottom"/>
            <w:tcBorders>
              <w:top w:val="single" w:sz="8" w:color="auto"/>
              <w:left w:val="single" w:sz="8" w:color="auto"/>
              <w:bottom w:val="single" w:sz="8" w:color="auto"/>
              <w:right w:val="single" w:sz="8" w:color="auto"/>
            </w:tcBorders>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Primary Element of Mr. Cornelius’ Compensation</w:t>
            </w:r>
          </w:p>
        </w:tc>
        <w:tc>
          <w:tcPr>
            <w:tcW w:w="5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Payor of Compensation Element</w:t>
            </w:r>
          </w:p>
        </w:tc>
      </w:tr>
      <w:tr>
        <w:trPr>
          <w:trHeight w:val="191"/>
        </w:trPr>
        <w:tc>
          <w:tcPr>
            <w:tcW w:w="600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5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CEG</w:t>
            </w:r>
          </w:p>
        </w:tc>
      </w:tr>
      <w:tr>
        <w:trPr>
          <w:trHeight w:val="192"/>
        </w:trPr>
        <w:tc>
          <w:tcPr>
            <w:tcW w:w="6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Annual Incentive Compensation</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CEG</w:t>
            </w:r>
          </w:p>
        </w:tc>
      </w:tr>
      <w:tr>
        <w:trPr>
          <w:trHeight w:val="201"/>
        </w:trPr>
        <w:tc>
          <w:tcPr>
            <w:tcW w:w="600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5300" w:type="dxa"/>
            <w:vAlign w:val="bottom"/>
            <w:tcBorders>
              <w:bottom w:val="single" w:sz="8" w:color="auto"/>
              <w:right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4"/>
                <w:szCs w:val="14"/>
                <w:color w:val="auto"/>
                <w:w w:val="93"/>
              </w:rPr>
              <w:t>Company</w:t>
            </w:r>
            <w:r>
              <w:rPr>
                <w:rFonts w:ascii="Times New Roman" w:cs="Times New Roman" w:eastAsia="Times New Roman" w:hAnsi="Times New Roman"/>
                <w:sz w:val="18"/>
                <w:szCs w:val="18"/>
                <w:color w:val="auto"/>
                <w:w w:val="93"/>
                <w:vertAlign w:val="superscript"/>
              </w:rPr>
              <w:t>(1)</w:t>
            </w:r>
          </w:p>
        </w:tc>
      </w:tr>
      <w:tr>
        <w:trPr>
          <w:trHeight w:val="183"/>
        </w:trPr>
        <w:tc>
          <w:tcPr>
            <w:tcW w:w="6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Employee Benefits</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CEG</w:t>
            </w:r>
          </w:p>
        </w:tc>
      </w:tr>
      <w:tr>
        <w:trPr>
          <w:trHeight w:val="193"/>
        </w:trPr>
        <w:tc>
          <w:tcPr>
            <w:tcW w:w="6000" w:type="dxa"/>
            <w:vAlign w:val="bottom"/>
            <w:tcBorders>
              <w:left w:val="single" w:sz="8" w:color="auto"/>
              <w:bottom w:val="single" w:sz="8" w:color="auto"/>
              <w:right w:val="single" w:sz="8" w:color="auto"/>
            </w:tcBorders>
            <w:gridSpan w:val="2"/>
            <w:shd w:val="clear" w:color="auto" w:fill="CCEEFF"/>
          </w:tcPr>
          <w:p>
            <w:pPr>
              <w:ind w:left="1520"/>
              <w:spacing w:after="0"/>
              <w:rPr>
                <w:sz w:val="20"/>
                <w:szCs w:val="20"/>
                <w:color w:val="auto"/>
              </w:rPr>
            </w:pPr>
            <w:r>
              <w:rPr>
                <w:rFonts w:ascii="Times New Roman" w:cs="Times New Roman" w:eastAsia="Times New Roman" w:hAnsi="Times New Roman"/>
                <w:sz w:val="14"/>
                <w:szCs w:val="14"/>
                <w:b w:val="1"/>
                <w:bCs w:val="1"/>
                <w:color w:val="auto"/>
              </w:rPr>
              <w:t>Primary Element of Other NEOs’ Compensation</w:t>
            </w:r>
          </w:p>
        </w:tc>
        <w:tc>
          <w:tcPr>
            <w:tcW w:w="5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Payor of Compensation Element</w:t>
            </w:r>
          </w:p>
        </w:tc>
      </w:tr>
      <w:tr>
        <w:trPr>
          <w:trHeight w:val="191"/>
        </w:trPr>
        <w:tc>
          <w:tcPr>
            <w:tcW w:w="6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CEG</w:t>
            </w:r>
          </w:p>
        </w:tc>
      </w:tr>
      <w:tr>
        <w:trPr>
          <w:trHeight w:val="192"/>
        </w:trPr>
        <w:tc>
          <w:tcPr>
            <w:tcW w:w="600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 Incentive Compensation</w:t>
            </w:r>
          </w:p>
        </w:tc>
        <w:tc>
          <w:tcPr>
            <w:tcW w:w="5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CEG</w:t>
            </w:r>
          </w:p>
        </w:tc>
      </w:tr>
      <w:tr>
        <w:trPr>
          <w:trHeight w:val="192"/>
        </w:trPr>
        <w:tc>
          <w:tcPr>
            <w:tcW w:w="6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Company</w:t>
            </w:r>
          </w:p>
        </w:tc>
      </w:tr>
      <w:tr>
        <w:trPr>
          <w:trHeight w:val="192"/>
        </w:trPr>
        <w:tc>
          <w:tcPr>
            <w:tcW w:w="600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Benefits</w:t>
            </w:r>
          </w:p>
        </w:tc>
        <w:tc>
          <w:tcPr>
            <w:tcW w:w="5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CEG</w:t>
            </w:r>
          </w:p>
        </w:tc>
      </w:tr>
      <w:tr>
        <w:trPr>
          <w:trHeight w:val="137"/>
        </w:trPr>
        <w:tc>
          <w:tcPr>
            <w:tcW w:w="220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5300" w:type="dxa"/>
            <w:vAlign w:val="bottom"/>
          </w:tcPr>
          <w:p>
            <w:pPr>
              <w:spacing w:after="0"/>
              <w:rPr>
                <w:sz w:val="11"/>
                <w:szCs w:val="11"/>
                <w:color w:val="auto"/>
              </w:rPr>
            </w:pPr>
          </w:p>
        </w:tc>
      </w:tr>
    </w:tbl>
    <w:p>
      <w:pPr>
        <w:spacing w:after="0" w:line="49" w:lineRule="exact"/>
        <w:rPr>
          <w:sz w:val="20"/>
          <w:szCs w:val="20"/>
          <w:color w:val="auto"/>
        </w:rPr>
      </w:pPr>
    </w:p>
    <w:p>
      <w:pPr>
        <w:ind w:left="60" w:right="20" w:firstLine="9"/>
        <w:spacing w:after="0" w:line="254" w:lineRule="auto"/>
        <w:tabs>
          <w:tab w:leader="none" w:pos="202"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2024, Mr. Cornelius received a one-time award of 375,000 restricted shares of Class C common stock of Clearway, Inc. under CEG’s equity compensation program (i.e., outside of our LTIP), which vests in three equal installments, with one-third having vested on October 1, 2024 and one-third having vested on October 1, 2025 and the remaining one-third vesting on October 1, 2026.</w:t>
      </w:r>
    </w:p>
    <w:p>
      <w:pPr>
        <w:spacing w:after="0" w:line="102"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4"/>
          <w:szCs w:val="14"/>
          <w:color w:val="auto"/>
        </w:rPr>
        <w:t>Because the Company does not pay any cash compensation or provide employee benefits (other than the payments with respect to the Company’s LTIP) to Mr. Cornelius and because the cash compensation and employee benefit amounts provided by CEG to Mr. Cornelius are not subject to the Payroll Component, the Company has not disclosed these items with respect to Mr. Cornelius in the Summary Compensation Table. Instead, the Company has disclosed only the compensatory amounts that are payable to Mr. Cornelius by the Company, which are limited to Mr. Cornelius’ RSU and PSU grants under the LTIP. With respect to the Other NEOs, because the cash compensation and employee benefit amounts (or some portion thereof) provided by CEG to the Other NEOs potentially are reflected in the Payroll Component, the Company has disclosed all elements of the Other NEOs’ compensation and benefits in the Summary Compensation Table.</w:t>
      </w:r>
    </w:p>
    <w:p>
      <w:pPr>
        <w:spacing w:after="0" w:line="101" w:lineRule="exact"/>
        <w:rPr>
          <w:sz w:val="20"/>
          <w:szCs w:val="20"/>
          <w:color w:val="auto"/>
        </w:rPr>
      </w:pPr>
    </w:p>
    <w:p>
      <w:pPr>
        <w:jc w:val="both"/>
        <w:ind w:right="20" w:firstLine="318"/>
        <w:spacing w:after="0" w:line="270" w:lineRule="auto"/>
        <w:rPr>
          <w:sz w:val="20"/>
          <w:szCs w:val="20"/>
          <w:color w:val="auto"/>
        </w:rPr>
      </w:pPr>
      <w:r>
        <w:rPr>
          <w:rFonts w:ascii="Times New Roman" w:cs="Times New Roman" w:eastAsia="Times New Roman" w:hAnsi="Times New Roman"/>
          <w:sz w:val="14"/>
          <w:szCs w:val="14"/>
          <w:color w:val="auto"/>
        </w:rPr>
        <w:t>At our 2025 Annual Meeting of Stockholders, we received approximately 99% support for our say on pay proposal. After considering the 2025 say on pay voting results, the Compensation Committee and the Board did not make any changes to the Company’s executive compensation program in response to such vote. We believe the 2025 say on pay voting results demonstrate our stockholders support our pay practices and that our compensation program is aligned with their interests.</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30"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color w:val="auto"/>
        </w:rPr>
        <w:t>Key Governance Features of Our Executive Compensation Program</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compensation program and practices incorporate several key governance features as highlighted in the table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Pr>
          <w:p>
            <w:pPr>
              <w:ind w:left="2440"/>
              <w:spacing w:after="0"/>
              <w:rPr>
                <w:sz w:val="20"/>
                <w:szCs w:val="20"/>
                <w:color w:val="auto"/>
              </w:rPr>
            </w:pPr>
            <w:r>
              <w:rPr>
                <w:rFonts w:ascii="Times New Roman" w:cs="Times New Roman" w:eastAsia="Times New Roman" w:hAnsi="Times New Roman"/>
                <w:sz w:val="11"/>
                <w:szCs w:val="11"/>
                <w:b w:val="1"/>
                <w:bCs w:val="1"/>
                <w:color w:val="auto"/>
              </w:rPr>
              <w:t>What We Do:</w:t>
            </w:r>
          </w:p>
        </w:tc>
        <w:tc>
          <w:tcPr>
            <w:tcW w:w="5680" w:type="dxa"/>
            <w:vAlign w:val="bottom"/>
          </w:tcPr>
          <w:p>
            <w:pPr>
              <w:ind w:left="2320"/>
              <w:spacing w:after="0"/>
              <w:rPr>
                <w:sz w:val="20"/>
                <w:szCs w:val="20"/>
                <w:color w:val="auto"/>
              </w:rPr>
            </w:pPr>
            <w:r>
              <w:rPr>
                <w:rFonts w:ascii="Times New Roman" w:cs="Times New Roman" w:eastAsia="Times New Roman" w:hAnsi="Times New Roman"/>
                <w:sz w:val="11"/>
                <w:szCs w:val="11"/>
                <w:b w:val="1"/>
                <w:bCs w:val="1"/>
                <w:color w:val="auto"/>
              </w:rPr>
              <w:t>What We Don’t Do:</w:t>
            </w:r>
          </w:p>
        </w:tc>
      </w:tr>
      <w:tr>
        <w:trPr>
          <w:trHeight w:val="147"/>
        </w:trPr>
        <w:tc>
          <w:tcPr>
            <w:tcW w:w="5600" w:type="dxa"/>
            <w:vAlign w:val="bottom"/>
            <w:shd w:val="clear" w:color="auto" w:fill="CCEEFF"/>
          </w:tcPr>
          <w:p>
            <w:pPr>
              <w:spacing w:after="0"/>
              <w:rPr>
                <w:sz w:val="12"/>
                <w:szCs w:val="12"/>
                <w:color w:val="auto"/>
              </w:rPr>
            </w:pPr>
          </w:p>
        </w:tc>
        <w:tc>
          <w:tcPr>
            <w:tcW w:w="5680" w:type="dxa"/>
            <w:vAlign w:val="bottom"/>
            <w:shd w:val="clear" w:color="auto" w:fill="CCEEFF"/>
          </w:tcPr>
          <w:p>
            <w:pPr>
              <w:ind w:left="200"/>
              <w:spacing w:after="0" w:line="147" w:lineRule="exact"/>
              <w:rPr>
                <w:sz w:val="20"/>
                <w:szCs w:val="20"/>
                <w:color w:val="auto"/>
              </w:rPr>
            </w:pPr>
            <w:r>
              <w:rPr>
                <w:rFonts w:ascii="Times New Roman" w:cs="Times New Roman" w:eastAsia="Times New Roman" w:hAnsi="Times New Roman"/>
                <w:sz w:val="14"/>
                <w:szCs w:val="14"/>
                <w:color w:val="auto"/>
              </w:rPr>
              <w:t>•   No excise tax gross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ups on change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 payments and no tax gross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ups on perquisites</w:t>
            </w:r>
          </w:p>
        </w:tc>
      </w:tr>
      <w:tr>
        <w:trPr>
          <w:trHeight w:val="191"/>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Pay for performance by compensating our NEOs through equity</w:t>
            </w:r>
          </w:p>
        </w:tc>
        <w:tc>
          <w:tcPr>
            <w:tcW w:w="5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or benefits</w:t>
            </w:r>
          </w:p>
        </w:tc>
      </w:tr>
      <w:tr>
        <w:trPr>
          <w:trHeight w:val="180"/>
        </w:trPr>
        <w:tc>
          <w:tcPr>
            <w:tcW w:w="5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Pay for performance by compensating our Other NEOs through annual AIP awards</w:t>
            </w:r>
          </w:p>
        </w:tc>
        <w:tc>
          <w:tcPr>
            <w:tcW w:w="5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No pledging or hedging of the Company’s stock by NEOs or directors</w:t>
            </w:r>
          </w:p>
        </w:tc>
      </w:tr>
      <w:tr>
        <w:trPr>
          <w:trHeight w:val="138"/>
        </w:trPr>
        <w:tc>
          <w:tcPr>
            <w:tcW w:w="560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   The large majority of our equity compensation for Senior Vice Presidents and above is</w:t>
            </w:r>
          </w:p>
        </w:tc>
        <w:tc>
          <w:tcPr>
            <w:tcW w:w="5680" w:type="dxa"/>
            <w:vAlign w:val="bottom"/>
            <w:shd w:val="clear" w:color="auto" w:fill="CCEEFF"/>
          </w:tcPr>
          <w:p>
            <w:pPr>
              <w:ind w:left="200"/>
              <w:spacing w:after="0" w:line="138" w:lineRule="exact"/>
              <w:rPr>
                <w:sz w:val="20"/>
                <w:szCs w:val="20"/>
                <w:color w:val="auto"/>
              </w:rPr>
            </w:pPr>
            <w:r>
              <w:rPr>
                <w:rFonts w:ascii="Times New Roman" w:cs="Times New Roman" w:eastAsia="Times New Roman" w:hAnsi="Times New Roman"/>
                <w:sz w:val="14"/>
                <w:szCs w:val="14"/>
                <w:color w:val="auto"/>
              </w:rPr>
              <w:t>•   No employment agreements for executive officers with the exception of the employment</w:t>
            </w:r>
          </w:p>
        </w:tc>
      </w:tr>
      <w:tr>
        <w:trPr>
          <w:trHeight w:val="191"/>
        </w:trPr>
        <w:tc>
          <w:tcPr>
            <w:tcW w:w="5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performance-based</w:t>
            </w:r>
          </w:p>
        </w:tc>
        <w:tc>
          <w:tcPr>
            <w:tcW w:w="5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agreement between our CEO and CEG</w:t>
            </w:r>
          </w:p>
        </w:tc>
      </w:tr>
      <w:tr>
        <w:trPr>
          <w:trHeight w:val="184"/>
        </w:trPr>
        <w:tc>
          <w:tcPr>
            <w:tcW w:w="5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Target our peer group median for total direct compensation for the Other NEOs</w:t>
            </w:r>
          </w:p>
        </w:tc>
        <w:tc>
          <w:tcPr>
            <w:tcW w:w="5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No guaranteed bonus payments under our AIP for our NEOs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2089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520" w:hanging="246"/>
        <w:spacing w:after="0" w:line="210"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double trigger for the acceleration of equity vesting in connection with a</w:t>
      </w:r>
    </w:p>
    <w:tbl>
      <w:tblPr>
        <w:tblLayout w:type="fixed"/>
        <w:tblInd w:w="280" w:type="dxa"/>
        <w:tblCellMar>
          <w:top w:w="0" w:type="dxa"/>
          <w:left w:w="0" w:type="dxa"/>
          <w:bottom w:w="0" w:type="dxa"/>
          <w:right w:w="0" w:type="dxa"/>
        </w:tblCellMar>
      </w:tblPr>
      <w:tr>
        <w:trPr>
          <w:trHeight w:val="149"/>
        </w:trPr>
        <w:tc>
          <w:tcPr>
            <w:tcW w:w="5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change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w:t>
            </w:r>
          </w:p>
        </w:tc>
        <w:tc>
          <w:tcPr>
            <w:tcW w:w="4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 supplemental executive retirement plans</w:t>
            </w:r>
          </w:p>
        </w:tc>
      </w:t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   Prevent undue risk taking in our compensation practices and engage in robust risk</w:t>
            </w:r>
          </w:p>
        </w:tc>
        <w:tc>
          <w:tcPr>
            <w:tcW w:w="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528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No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pricing of underwater stock options and no stock option grants with an exercise price</w:t>
            </w:r>
          </w:p>
        </w:tc>
      </w:tr>
      <w:tr>
        <w:trPr>
          <w:trHeight w:val="184"/>
        </w:trPr>
        <w:tc>
          <w:tcPr>
            <w:tcW w:w="5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monitoring</w:t>
            </w:r>
          </w:p>
        </w:tc>
        <w:tc>
          <w:tcPr>
            <w:tcW w:w="460" w:type="dxa"/>
            <w:vAlign w:val="bottom"/>
          </w:tcPr>
          <w:p>
            <w:pPr>
              <w:spacing w:after="0"/>
              <w:rPr>
                <w:sz w:val="16"/>
                <w:szCs w:val="16"/>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below 100% of fair market value</w:t>
            </w:r>
          </w:p>
        </w:tc>
      </w:tr>
    </w:tbl>
    <w:p>
      <w:pPr>
        <w:spacing w:after="0" w:line="3" w:lineRule="exact"/>
        <w:rPr>
          <w:sz w:val="20"/>
          <w:szCs w:val="20"/>
          <w:color w:val="auto"/>
        </w:rPr>
      </w:pPr>
    </w:p>
    <w:p>
      <w:pPr>
        <w:ind w:left="520" w:right="5840" w:hanging="246"/>
        <w:spacing w:after="0" w:line="239"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legally-required and Company-specific clawback policies in our compensation plans</w:t>
      </w:r>
    </w:p>
    <w:p>
      <w:pPr>
        <w:spacing w:after="0" w:line="8" w:lineRule="exact"/>
        <w:rPr>
          <w:rFonts w:ascii="Times New Roman" w:cs="Times New Roman" w:eastAsia="Times New Roman" w:hAnsi="Times New Roman"/>
          <w:sz w:val="14"/>
          <w:szCs w:val="14"/>
          <w:color w:val="auto"/>
        </w:rPr>
      </w:pPr>
    </w:p>
    <w:p>
      <w:pPr>
        <w:ind w:left="520" w:hanging="246"/>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robust stock ownership guidelines for our NEOs</w:t>
      </w:r>
    </w:p>
    <w:p>
      <w:pPr>
        <w:spacing w:after="0" w:line="23" w:lineRule="exact"/>
        <w:rPr>
          <w:rFonts w:ascii="Times New Roman" w:cs="Times New Roman" w:eastAsia="Times New Roman" w:hAnsi="Times New Roman"/>
          <w:sz w:val="14"/>
          <w:szCs w:val="14"/>
          <w:color w:val="auto"/>
        </w:rPr>
      </w:pPr>
    </w:p>
    <w:p>
      <w:pPr>
        <w:ind w:left="520" w:hanging="246"/>
        <w:spacing w:after="0" w:line="161" w:lineRule="exact"/>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market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retirement benefits and limited perquisites</w:t>
      </w:r>
    </w:p>
    <w:p>
      <w:pPr>
        <w:spacing w:after="0" w:line="31" w:lineRule="exact"/>
        <w:rPr>
          <w:rFonts w:ascii="Times New Roman" w:cs="Times New Roman" w:eastAsia="Times New Roman" w:hAnsi="Times New Roman"/>
          <w:sz w:val="14"/>
          <w:szCs w:val="14"/>
          <w:color w:val="auto"/>
        </w:rPr>
      </w:pPr>
    </w:p>
    <w:p>
      <w:pPr>
        <w:ind w:left="520" w:right="5780" w:hanging="246"/>
        <w:spacing w:after="0" w:line="228"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an independent compensation consultant to provide advice to the Compensation Committee with respect to our compensation program</w:t>
      </w:r>
    </w:p>
    <w:p>
      <w:pPr>
        <w:spacing w:after="0" w:line="7" w:lineRule="exact"/>
        <w:rPr>
          <w:rFonts w:ascii="Times New Roman" w:cs="Times New Roman" w:eastAsia="Times New Roman" w:hAnsi="Times New Roman"/>
          <w:sz w:val="14"/>
          <w:szCs w:val="14"/>
          <w:color w:val="auto"/>
        </w:rPr>
      </w:pPr>
    </w:p>
    <w:p>
      <w:pPr>
        <w:ind w:left="520" w:hanging="246"/>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an annual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-745490</wp:posOffset>
            </wp:positionV>
            <wp:extent cx="7161530" cy="2089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wp:posOffset>
            </wp:positionV>
            <wp:extent cx="7161530" cy="114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Strategy</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Company’s primary business strategy is to focus on the acquisition and ownership of assets with predictable, long-term cash flows that allow the Company to increase the cash distributions paid to its unit holders over time without compromising the ongoing stability of the business. The Company’s plan for executing this strategy includes the following key components: focusing on contracted renewable energy and flexible generation; growing our business through acquisitions of contracted operating assets primarily in North America; and maintaining sound financial practices to increase distributions to our unit holders. For additional information regarding the Company’s business results during 2025, please see Part II, Item 7 – </w:t>
      </w:r>
      <w:r>
        <w:rPr>
          <w:rFonts w:ascii="Times New Roman" w:cs="Times New Roman" w:eastAsia="Times New Roman" w:hAnsi="Times New Roman"/>
          <w:sz w:val="14"/>
          <w:szCs w:val="14"/>
          <w:i w:val="1"/>
          <w:iCs w:val="1"/>
          <w:color w:val="auto"/>
        </w:rPr>
        <w:t>Management’s Discussion and Analysis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Condition and Results of Operations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Compensation Program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 Named Executive Officers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This CD&amp;A describes the material components of our compensation program for our NEOs in 2025. For the year ended December 31, 2025, our NEOs included the following individuals: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NEO</w:t>
            </w:r>
          </w:p>
        </w:tc>
        <w:tc>
          <w:tcPr>
            <w:tcW w:w="6920" w:type="dxa"/>
            <w:vAlign w:val="bottom"/>
          </w:tcPr>
          <w:p>
            <w:pPr>
              <w:ind w:left="3220"/>
              <w:spacing w:after="0"/>
              <w:rPr>
                <w:sz w:val="20"/>
                <w:szCs w:val="20"/>
                <w:color w:val="auto"/>
              </w:rPr>
            </w:pPr>
            <w:r>
              <w:rPr>
                <w:rFonts w:ascii="Times New Roman" w:cs="Times New Roman" w:eastAsia="Times New Roman" w:hAnsi="Times New Roman"/>
                <w:sz w:val="11"/>
                <w:szCs w:val="11"/>
                <w:b w:val="1"/>
                <w:bCs w:val="1"/>
                <w:color w:val="auto"/>
              </w:rPr>
              <w:t>2025 Title</w:t>
            </w:r>
          </w:p>
        </w:tc>
      </w:tr>
      <w:tr>
        <w:trPr>
          <w:trHeight w:val="180"/>
        </w:trPr>
        <w:tc>
          <w:tcPr>
            <w:tcW w:w="42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Craig Cornelius</w:t>
            </w:r>
          </w:p>
        </w:tc>
        <w:tc>
          <w:tcPr>
            <w:tcW w:w="100" w:type="dxa"/>
            <w:vAlign w:val="bottom"/>
            <w:tcBorders>
              <w:top w:val="single" w:sz="8" w:color="CCEEFF"/>
            </w:tcBorders>
            <w:shd w:val="clear" w:color="auto" w:fill="CCEEFF"/>
          </w:tcPr>
          <w:p>
            <w:pPr>
              <w:spacing w:after="0"/>
              <w:rPr>
                <w:sz w:val="15"/>
                <w:szCs w:val="15"/>
                <w:color w:val="auto"/>
              </w:rPr>
            </w:pPr>
          </w:p>
        </w:tc>
        <w:tc>
          <w:tcPr>
            <w:tcW w:w="69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0"/>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Sarah Rubenstein</w:t>
            </w: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0"/>
        </w:trPr>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Kevin P. Malcarney</w:t>
            </w: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Executive Vice President, General Counsel and Corporate Secretary</w:t>
            </w:r>
          </w:p>
        </w:tc>
      </w:tr>
      <w:tr>
        <w:trPr>
          <w:trHeight w:val="668"/>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67</w:t>
            </w:r>
          </w:p>
        </w:tc>
      </w:tr>
      <w:tr>
        <w:trPr>
          <w:trHeight w:val="87"/>
        </w:trPr>
        <w:tc>
          <w:tcPr>
            <w:tcW w:w="4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color w:val="auto"/>
        </w:rPr>
        <w:t>Goals and Objectives of the Program</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Compensation Committee is responsible for the development and implementation of the Company’s executive compensation program, subject to Board approval for equity awards under the LTIP to certain officers, and references to Compensation Committee actions described below should be read in a manner that contemplates the requisite Board approval, as applicable, is in effect (see “Board Committees—Compensation Committee” above). The intent of the program is to reward the achievement of the Company’s annual goals and objectives while supporting the Company’s long-term business strategy. The Compensation Committee is committed to aligning executive compensation with performance. Our Compensation Committee has designed an executive compensation program that is intended to:</w:t>
      </w:r>
    </w:p>
    <w:p>
      <w:pPr>
        <w:spacing w:after="0" w:line="16"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closely align our executive compensation with stockholder value creation, avoiding plans that encourage executives to take excessive risk, while driving long-term value to stockholders;</w:t>
      </w:r>
    </w:p>
    <w:p>
      <w:pPr>
        <w:spacing w:after="0" w:line="51"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 our long-term business strategy, while rewarding our executive team for their individual accomplishments with tailored individual executive compensation metrics and incentives; and</w:t>
      </w:r>
    </w:p>
    <w:p>
      <w:pPr>
        <w:spacing w:after="0" w:line="20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 competitive compensation opportunity while aligning with market standards for compensation.</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Compensation Committee’s objectives are designed to be achieved through the use of short-term incentives for the Other NEOs and long-term incentives for all the NEOs. With respect to our CEO, the Compensation Committee maintains a dialogue with the CEG compensation committee and considers our CEO’s overall compensation in connection with its decisions involving our CEO’s long-term incentive compensation. The Company currently targets total direct compensation with respect to the Other NEOs at the median of our Compensation Peer Group (defined below), as described below under “Elements of Compensation.”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Compensation Process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Consultant</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2025. As part of its work with the Compensation Committee, Pay Governance provided reports to the Compensation Committee containing research, market data, survey information and information regarding trends and developments in executive and director compensation, and Pay Governance reported directly to the Compensation Committee.</w:t>
      </w:r>
    </w:p>
    <w:p>
      <w:pPr>
        <w:spacing w:after="0" w:line="10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Except with respect to services Pay Governance provided in connection with advising the CEG compensation committee, neither Pay Governance, nor any of its affiliates, provided any other services for us or any of our affiliates in 2025. The aggregate fees paid to Pay Governance for the 2025 services it provided to the CEG compensation committee were $44,920. In accordance with SEC rules and requirements, the Compensation Committee has affirmatively determined that the services performed by Pay Governance did not raise any conflict of interest and no conflicts of interest exist between the Company and Pay Governance (or any individuals working on the Company’s account on behalf of Pay Governance).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Peer Group Analysis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Compensation Committee, with support from its independent compensation consultant, identifies the most appropriate comparator group for the Company within relevant industries for purposes of benchmarking compensation (the “Compensation Peer Group”). With respect to 2025, the support from Pay Governance included its assistance in identifying an appropriate Compensation Peer Group that accounted for the reorganization effected by the Company and CEG, pursuant to which substantially all of the employees and operations of the Company transferred to CEG as of January 1, 2025. The Compensation Committee aims to compare our compensation program to a consistent Compensation Peer Group year-to-year, but given the dynamic nature of our industry and the companies that constitute it, the Compensation Committee annually examines the Compensation Peer Group for appropriateness in terms of size, complexity, and industry.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8" w:name="page69"/>
    <w:bookmarkEnd w:id="68"/>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In connection with this annual review, the Compensation Committee reviewed the Compensation Peer Group identified for 2024 and adjusted it for 2025 to (i) add the following companies: First Solar, Inc., Hannon Armstrong Sustainable Infrastructure, L.P., New Fortress Energy Inc. and Sunrun Inc. and (ii) remove the following companies: Algonquin Power &amp; Utilities Corp., Atmos Energy Corporation, Capital Power Corporation, Genesis Energy, L.P. and Equitrans Midstream Corporation. These adjustments for 2025 generally reflect (x) an increased emphasis on including independent power producers and key talent competitors in the Compensation Peer Group, (y) a reduced emphasis on including master limited partnerships, Canadian companies, midstream companies and pipeline companies in the Compensation Peer Group, and (z) an openness to include residential solar companies in the Compensation Peer Group. As a result, the Compensation Committee, with support from Pay Governance, determined that the Compensation Peer Group for 2025 would be focused on four key industry groupings with overlapping organization characteristics and/or business models with the Company: (1) utilities with renewable energy generation assets, (2) renewable electricity, (3) midstream and gas utilities with distribution / transportation capabilities, and (4) energy storage industries. For these purposes, the Compensation Peer Group for 2025 is identified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Ticker</w:t>
            </w:r>
          </w:p>
        </w:tc>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2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Ticker</w:t>
            </w:r>
          </w:p>
        </w:tc>
      </w:tr>
      <w:tr>
        <w:trPr>
          <w:trHeight w:val="180"/>
        </w:trPr>
        <w:tc>
          <w:tcPr>
            <w:tcW w:w="32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Alliant Energy Corporation</w:t>
            </w:r>
          </w:p>
        </w:tc>
        <w:tc>
          <w:tcPr>
            <w:tcW w:w="23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NASDAQ: LNT</w:t>
            </w:r>
          </w:p>
        </w:tc>
        <w:tc>
          <w:tcPr>
            <w:tcW w:w="100" w:type="dxa"/>
            <w:vAlign w:val="bottom"/>
            <w:tcBorders>
              <w:top w:val="single" w:sz="8" w:color="CCEEFF"/>
            </w:tcBorders>
            <w:shd w:val="clear" w:color="auto" w:fill="CCEEFF"/>
          </w:tcPr>
          <w:p>
            <w:pPr>
              <w:spacing w:after="0"/>
              <w:rPr>
                <w:sz w:val="15"/>
                <w:szCs w:val="15"/>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Northland Power Inc.</w:t>
            </w:r>
          </w:p>
        </w:tc>
        <w:tc>
          <w:tcPr>
            <w:tcW w:w="1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TSX: NPI</w:t>
            </w:r>
          </w:p>
        </w:tc>
      </w:tr>
      <w:tr>
        <w:trPr>
          <w:trHeight w:val="201"/>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Avista Corporation</w:t>
            </w: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NYSE: AVA</w:t>
            </w: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NorthWestern Corporation</w:t>
            </w: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NYSE: NWE</w:t>
            </w:r>
          </w:p>
        </w:tc>
      </w:tr>
      <w:tr>
        <w:trPr>
          <w:trHeight w:val="181"/>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Black Hills Corporation</w:t>
            </w:r>
          </w:p>
        </w:tc>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NYSE: BKH</w:t>
            </w: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Ormat Technologies, Inc.</w:t>
            </w: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NYSE: ORA</w:t>
            </w:r>
          </w:p>
        </w:tc>
      </w:tr>
      <w:tr>
        <w:trPr>
          <w:trHeight w:val="180"/>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Boralex Inc.</w:t>
            </w: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OTCMKTS: BRLXF</w:t>
            </w: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Portland General Electric Company</w:t>
            </w: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NYSE: POR</w:t>
            </w:r>
          </w:p>
        </w:tc>
      </w:tr>
      <w:tr>
        <w:trPr>
          <w:trHeight w:val="18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 Solar, Inc.</w:t>
            </w:r>
          </w:p>
        </w:tc>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NASDAQ: FSLR</w:t>
            </w: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Sunrun Inc.</w:t>
            </w: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NASDAQ: RUN</w:t>
            </w:r>
          </w:p>
        </w:tc>
      </w:tr>
      <w:tr>
        <w:trPr>
          <w:trHeight w:val="180"/>
        </w:trPr>
        <w:tc>
          <w:tcPr>
            <w:tcW w:w="3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Hannon Armstrong Sustainable Infrastructure, L.P.</w:t>
            </w: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NYSE: HASI</w:t>
            </w: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TransAlta Corporation</w:t>
            </w: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NYSE: TAC</w:t>
            </w:r>
          </w:p>
        </w:tc>
      </w:tr>
      <w:tr>
        <w:trPr>
          <w:trHeight w:val="180"/>
        </w:trPr>
        <w:tc>
          <w:tcPr>
            <w:tcW w:w="32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Innergex Renewable Energy Inc.</w:t>
            </w:r>
            <w:r>
              <w:rPr>
                <w:rFonts w:ascii="Times New Roman" w:cs="Times New Roman" w:eastAsia="Times New Roman" w:hAnsi="Times New Roman"/>
                <w:sz w:val="18"/>
                <w:szCs w:val="18"/>
                <w:color w:val="auto"/>
                <w:vertAlign w:val="superscript"/>
              </w:rPr>
              <w:t>(1)</w:t>
            </w:r>
          </w:p>
        </w:tc>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TSX: INE</w:t>
            </w: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r>
        <w:trPr>
          <w:trHeight w:val="180"/>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MGE Energy, Inc.</w:t>
            </w: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NASDAQ: MGEE</w:t>
            </w: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New Fortress Energy Inc.</w:t>
            </w:r>
          </w:p>
        </w:tc>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NASDAQ: NFE</w:t>
            </w: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8" w:lineRule="exact"/>
        <w:rPr>
          <w:sz w:val="20"/>
          <w:szCs w:val="20"/>
          <w:color w:val="auto"/>
        </w:rPr>
      </w:pPr>
    </w:p>
    <w:p>
      <w:pPr>
        <w:ind w:left="60" w:firstLine="9"/>
        <w:spacing w:after="0" w:line="287" w:lineRule="auto"/>
        <w:tabs>
          <w:tab w:leader="none" w:pos="177" w:val="left"/>
        </w:tabs>
        <w:numPr>
          <w:ilvl w:val="0"/>
          <w:numId w:val="34"/>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Innergex Renewable Energy Inc. was acquired by La Caisse in July 2025 and was delisted, but was included by Pay Governance as part of its 2025 compensation benchmarking analysis, and for that reason, Innergex Renewable Energy Inc. is included in the Compensation Peer Group for 2025 but will not be part of the Compensation Peer Group for 2026 or going forward.</w:t>
      </w:r>
    </w:p>
    <w:p>
      <w:pPr>
        <w:spacing w:after="0" w:line="14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For purposes of determining appropriate NEO compensation levels for 2025, the Compensation Committee reviewed NEO compensation from peers, where available and when appropriate (e.g., based on an NEO’s position and duties). To supplement this analysis, the Compensation Committee reviewed relevant third-party survey data and considered the recommendations of the CEO, on Other NEO and employee compensation matters not involving the CEO. The Compensation Committee may accept or adjust CEO recommendations at its discretion. The NEOs did not participate in Compensation Committee discussions regarding their own compensation.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Elements of Compensation</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Our executive compensation program consists of fixed compensation (base salary), performance-based compensation (annual bonuses and PSUs) and time-based compensation (RSUs), noting that the only compensation directly provided by the Company to our NEOs consists of awards of PSUs and RSUs that are issued pursuant to our LTIP (noting that CWEN is responsible for reimbursing CEG for the cash compensation and employee benefit amounts provided by CEG to the Other NEOs). We generally use the median percentile of our Compensation Peer Group as a guidepost in establishing the targeted levels of compensation (cash and/or equity, as applicable) for our Other NEOs. We expect that, over time, the relevant components of the foregoing targeted compensation for our NEOs will continue to approximate the median of our Compensation Peer Group. Realized pay in a given year depends on the achievement of defined performance-based compensation metrics. While a portion of the above-described compensation is fixed, a significant percentage is at-risk and payable and/or realizable only if certain performance objectives are met.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Base Salary</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noted above, the Company does not pay cash compensation to our CEO, who is an employee of CEG. Instead, our CEO’s base salary is paid solely by CEG in accordance with his employment agreement and such base salary is not subject to the Payroll Component. However, the Compensation Committee is permitted under the terms of our CEO’s employment agreement to make non-binding recommendations to the CEG compensation committee regarding any adjustments to Mr. Cornelius’ base salary, with the CEG compensation committee having final decisional authority with respect to such adjustments.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9" w:name="page70"/>
    <w:bookmarkEnd w:id="69"/>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With respect to our Other NEOs, their base salaries are also paid by CEG (i.e., as employees of CEG) and such base salary payments (or some portion thereof) potentially are reflected in the Payroll Component. Nonetheless, given that the services of the Other NEOs primarily relate to the Company, the Compensation Committee remains involved in base salary determinations for the Other NEOs. Base salary is a critical component that is used to compensate each of the Other NEOs for his or her level of experience, position, responsibilities and for the continued expectation of superior performance. Recommendations on increases to base salary take into account, among other factors, the applicable Other NEO’s individual performance, the general contributions of the Other NEO to overall corporate performance, the level of responsibility of such Other NEO with respect to his or her specific position, and the Other NEO’s current base salary level compared to the market median. Each of Ms. Rubenstein and Mr. Malcarney received a base salary increase in 2025 based on such executive’s performance and peer group benchmarking.</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base salary for each of the NEOs for fiscal year 2025 as of December 31, 2025 is set forth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2025 Annualized</w:t>
            </w:r>
          </w:p>
        </w:tc>
        <w:tc>
          <w:tcPr>
            <w:tcW w:w="1860" w:type="dxa"/>
            <w:vAlign w:val="bottom"/>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Percentage Increase</w:t>
            </w:r>
          </w:p>
        </w:tc>
      </w:tr>
      <w:tr>
        <w:trPr>
          <w:trHeight w:val="18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Base Salary ($)</w:t>
            </w:r>
            <w:r>
              <w:rPr>
                <w:rFonts w:ascii="Times New Roman" w:cs="Times New Roman" w:eastAsia="Times New Roman" w:hAnsi="Times New Roman"/>
                <w:sz w:val="14"/>
                <w:szCs w:val="14"/>
                <w:b w:val="1"/>
                <w:bCs w:val="1"/>
                <w:color w:val="auto"/>
                <w:vertAlign w:val="superscript"/>
              </w:rPr>
              <w:t>(1)</w:t>
            </w:r>
          </w:p>
        </w:tc>
        <w:tc>
          <w:tcPr>
            <w:tcW w:w="1860" w:type="dxa"/>
            <w:vAlign w:val="bottom"/>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Over 2024 (%)</w:t>
            </w:r>
            <w:r>
              <w:rPr>
                <w:rFonts w:ascii="Times New Roman" w:cs="Times New Roman" w:eastAsia="Times New Roman" w:hAnsi="Times New Roman"/>
                <w:sz w:val="14"/>
                <w:szCs w:val="14"/>
                <w:b w:val="1"/>
                <w:bCs w:val="1"/>
                <w:color w:val="auto"/>
                <w:vertAlign w:val="superscript"/>
              </w:rPr>
              <w:t>(2)</w:t>
            </w:r>
          </w:p>
        </w:tc>
      </w:tr>
      <w:tr>
        <w:trPr>
          <w:trHeight w:val="171"/>
        </w:trPr>
        <w:tc>
          <w:tcPr>
            <w:tcW w:w="77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Craig Cornelius</w:t>
            </w:r>
            <w:r>
              <w:rPr>
                <w:rFonts w:ascii="Times New Roman" w:cs="Times New Roman" w:eastAsia="Times New Roman" w:hAnsi="Times New Roman"/>
                <w:sz w:val="18"/>
                <w:szCs w:val="18"/>
                <w:color w:val="auto"/>
                <w:vertAlign w:val="superscript"/>
              </w:rPr>
              <w:t>(3)</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Sarah Rubenstein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435,625</w:t>
            </w:r>
          </w:p>
        </w:tc>
        <w:tc>
          <w:tcPr>
            <w:tcW w:w="1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2.50 %</w:t>
            </w:r>
          </w:p>
        </w:tc>
      </w:tr>
      <w:tr>
        <w:trPr>
          <w:trHeight w:val="18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Kevin P. Malcarney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434,907</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3" w:lineRule="exact"/>
        <w:rPr>
          <w:sz w:val="20"/>
          <w:szCs w:val="20"/>
          <w:color w:val="auto"/>
        </w:rPr>
      </w:pPr>
    </w:p>
    <w:p>
      <w:pPr>
        <w:ind w:left="200" w:hanging="131"/>
        <w:spacing w:after="0"/>
        <w:tabs>
          <w:tab w:leader="none" w:pos="20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Actual 2025 base salary earnings are presented in the Summary Compensation Table for the Other NEOs.</w:t>
      </w:r>
    </w:p>
    <w:p>
      <w:pPr>
        <w:spacing w:after="0" w:line="28" w:lineRule="exact"/>
        <w:rPr>
          <w:rFonts w:ascii="Times New Roman" w:cs="Times New Roman" w:eastAsia="Times New Roman" w:hAnsi="Times New Roman"/>
          <w:sz w:val="16"/>
          <w:szCs w:val="16"/>
          <w:color w:val="auto"/>
          <w:vertAlign w:val="superscript"/>
        </w:rPr>
      </w:pPr>
    </w:p>
    <w:p>
      <w:pPr>
        <w:ind w:left="200" w:hanging="131"/>
        <w:spacing w:after="0" w:line="197" w:lineRule="auto"/>
        <w:tabs>
          <w:tab w:leader="none" w:pos="20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compared to the December 31, 2024 annualized base salary.</w:t>
      </w:r>
    </w:p>
    <w:p>
      <w:pPr>
        <w:spacing w:after="0" w:line="29" w:lineRule="exact"/>
        <w:rPr>
          <w:rFonts w:ascii="Times New Roman" w:cs="Times New Roman" w:eastAsia="Times New Roman" w:hAnsi="Times New Roman"/>
          <w:sz w:val="16"/>
          <w:szCs w:val="16"/>
          <w:color w:val="auto"/>
          <w:vertAlign w:val="superscript"/>
        </w:rPr>
      </w:pPr>
    </w:p>
    <w:p>
      <w:pPr>
        <w:ind w:left="60" w:firstLine="9"/>
        <w:spacing w:after="0" w:line="283" w:lineRule="auto"/>
        <w:tabs>
          <w:tab w:leader="none" w:pos="188" w:val="left"/>
        </w:tabs>
        <w:numPr>
          <w:ilvl w:val="0"/>
          <w:numId w:val="3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Mr. Cornelius’ base salary is payable solely by CEG in accordance with his employment agreement and such base salary is not subject to the Payroll Component. As a result, Mr. Cornelius’ base salary is included in the above table for the sake of completeness, but is not included in the Summary Compensation Table.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Incentive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As noted above, the Company does not pay cash compensation to our CEO, who is an employee of CEG. As a result, our CEO’s annual bonus compensation is paid solely by CEG (pursuant to CEG’s annual bonus program) in accordance with his employment agreement and such annual bonus is not subject to the Payroll Component. Pursuant to his employment agreement, our CEO is eligible to receive an annual incentive bonus at a target amount equal to 175% of his then-current base salary, with the actual annual bonus with respect to a fiscal year being based on the level of achievement of annual performance objectives established for such fiscal year with respect to CEG; provided that such actual annual bonus may not exceed 300% of the CEO’s base salary as in effect at the end of such fiscal year. However, during fiscal years in which Mr. Cornelius serves as our CEO, the performance objectives with respect to his annual bonus will be established, evaluated and approved (including for such purposes that relate to the extent to which such performance objectives are attained) by the Compensation Committee. The CEG compensation committee, in turn, is permitted to make non-binding recommendations to the Compensation Committee regarding the foregoing performance objective matters, and the Compensation Committee will have final decisional authority with respect to these matters. Our CEO’s performance objectives were primarily based on the 2025 AIP bonus performance criteria and weighting described below (noting that our CEO’s annual bonus benefit is provided pursuant to his employment agreement with CEG).</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With respect to our Other NEOs, our annual incentive compensation awards (AIP bonuses) are paid by the Company to the Other NEOs, and such AIP payments are potentially reflected in the Payroll Component. Nonetheless, given that the services of the Other NEOs primarily relate to the Company, the Compensation Committee remains involved in AIP bonus determinations for the Other NEOs. AIP bonuses are awarded to our Other NEOs under our annual incentive program or “AIP.” AIP bonuses represent short-term compensation designed to compensate our Other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2025 relate to: (a) CAFD and (b) key performance milestones.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0" w:name="page71"/>
    <w:bookmarkEnd w:id="70"/>
    <w:p>
      <w:pPr>
        <w:jc w:val="both"/>
        <w:ind w:right="80" w:firstLine="318"/>
        <w:spacing w:after="0" w:line="259" w:lineRule="auto"/>
        <w:rPr>
          <w:sz w:val="20"/>
          <w:szCs w:val="20"/>
          <w:color w:val="auto"/>
        </w:rPr>
      </w:pPr>
      <w:r>
        <w:rPr>
          <w:rFonts w:ascii="Times New Roman" w:cs="Times New Roman" w:eastAsia="Times New Roman" w:hAnsi="Times New Roman"/>
          <w:sz w:val="14"/>
          <w:szCs w:val="14"/>
          <w:color w:val="auto"/>
        </w:rPr>
        <w:t>The overall bonus payouts are subject to (i) potential positive or negative adjustments of up to 20% depending on the NEO’s individual performance and (ii) a potential 5% across-the-board negative adjustments depending on our performance with respect to certain pre-established safety metrics, known as “DART” (days away from work, restricted duty and job transfer). This 5% reduction will apply in the event our relevant DART rates for construction exceed 0.35 and/or our relevant DART rates for operations exceed 0.45 for the year (“DART Overage”). DART rates are generally calculated via the following fraction: (x) the numerator being the number of DART-related incidents multiplied by the annual hours performed by the relevant personnel base for the year, and (y) the denominator being the total hours performed by such personnel base for the year. In addition,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03" w:lineRule="exact"/>
        <w:rPr>
          <w:sz w:val="20"/>
          <w:szCs w:val="20"/>
          <w:color w:val="auto"/>
        </w:rPr>
      </w:pPr>
    </w:p>
    <w:p>
      <w:pPr>
        <w:jc w:val="both"/>
        <w:ind w:right="80" w:firstLine="318"/>
        <w:spacing w:after="0" w:line="264" w:lineRule="auto"/>
        <w:rPr>
          <w:sz w:val="20"/>
          <w:szCs w:val="20"/>
          <w:color w:val="auto"/>
        </w:rPr>
      </w:pPr>
      <w:r>
        <w:rPr>
          <w:rFonts w:ascii="Times New Roman" w:cs="Times New Roman" w:eastAsia="Times New Roman" w:hAnsi="Times New Roman"/>
          <w:sz w:val="14"/>
          <w:szCs w:val="14"/>
          <w:color w:val="auto"/>
        </w:rPr>
        <w:t>AIP bonus opportunities are expressed in terms of threshold, target and maximum bonus opportunities. Different percentages of each NEO’s annual base salary relate to these threshold, target and maximum AIP bonus opportunities. In the event threshold performance for 2025 is not achieved with respect to one of the AIP performance metrics, no AIP bonus amounts will be payable with respect to that component for 2025. For 2025, the threshold AIP bonus payout was increased from 50% to 75% of the target amount, and the maximum AIP bonus payout was reduced from 200% to 150% of the target amount.</w:t>
      </w:r>
    </w:p>
    <w:p>
      <w:pPr>
        <w:spacing w:after="0" w:line="98" w:lineRule="exact"/>
        <w:rPr>
          <w:sz w:val="20"/>
          <w:szCs w:val="20"/>
          <w:color w:val="auto"/>
        </w:rPr>
      </w:pPr>
    </w:p>
    <w:p>
      <w:pPr>
        <w:jc w:val="both"/>
        <w:ind w:right="80" w:firstLine="318"/>
        <w:spacing w:after="0" w:line="270" w:lineRule="auto"/>
        <w:rPr>
          <w:sz w:val="20"/>
          <w:szCs w:val="20"/>
          <w:color w:val="auto"/>
        </w:rPr>
      </w:pPr>
      <w:r>
        <w:rPr>
          <w:rFonts w:ascii="Times New Roman" w:cs="Times New Roman" w:eastAsia="Times New Roman" w:hAnsi="Times New Roman"/>
          <w:sz w:val="14"/>
          <w:szCs w:val="14"/>
          <w:color w:val="auto"/>
        </w:rPr>
        <w:t>The AIP provides our Other NEOs eligibility for a pro-rated target bonus payment for the year of a qualifying severance termination, based on the portion of the performance period that the NEO was employed. As further discussed below, our CEO’s employment agreement governs his severance entitlements in connection with his annual bonus compensation. For a more detailed discussion, including the quantification of potential payments, please see the section entitled “Severance and Change-in-Control” following the executive compensation tables below.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 AIP Bonus Performance Criteria</w:t>
      </w:r>
    </w:p>
    <w:p>
      <w:pPr>
        <w:spacing w:after="0" w:line="138" w:lineRule="exact"/>
        <w:rPr>
          <w:sz w:val="20"/>
          <w:szCs w:val="20"/>
          <w:color w:val="auto"/>
        </w:rPr>
      </w:pPr>
    </w:p>
    <w:p>
      <w:pPr>
        <w:jc w:val="both"/>
        <w:ind w:right="140" w:firstLine="318"/>
        <w:spacing w:after="0" w:line="270" w:lineRule="auto"/>
        <w:rPr>
          <w:sz w:val="20"/>
          <w:szCs w:val="20"/>
          <w:color w:val="auto"/>
        </w:rPr>
      </w:pPr>
      <w:r>
        <w:rPr>
          <w:rFonts w:ascii="Times New Roman" w:cs="Times New Roman" w:eastAsia="Times New Roman" w:hAnsi="Times New Roman"/>
          <w:sz w:val="14"/>
          <w:szCs w:val="14"/>
          <w:color w:val="auto"/>
        </w:rPr>
        <w:t>The 2025 AIP bonus performance criteria applicable to our NEOs are based upon the Company’s CAFD performance and the attainment of the key performance milestones, and bonus payouts are subject to adjustment based on individual performance and, if applicable, due to DART Overage, as discussed above. The table below sets forth the 2025 AIP performance criteria and weightings applicable to our NEOs, assuming the achievement of each goal at target.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Goal</w:t>
            </w:r>
          </w:p>
        </w:tc>
        <w:tc>
          <w:tcPr>
            <w:tcW w:w="2260" w:type="dxa"/>
            <w:vAlign w:val="bottom"/>
          </w:tcPr>
          <w:p>
            <w:pPr>
              <w:jc w:val="right"/>
              <w:ind w:right="892"/>
              <w:spacing w:after="0"/>
              <w:rPr>
                <w:sz w:val="20"/>
                <w:szCs w:val="20"/>
                <w:color w:val="auto"/>
              </w:rPr>
            </w:pPr>
            <w:r>
              <w:rPr>
                <w:rFonts w:ascii="Times New Roman" w:cs="Times New Roman" w:eastAsia="Times New Roman" w:hAnsi="Times New Roman"/>
                <w:sz w:val="11"/>
                <w:szCs w:val="11"/>
                <w:b w:val="1"/>
                <w:bCs w:val="1"/>
                <w:color w:val="auto"/>
              </w:rPr>
              <w:t>Weight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90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CAFD</w:t>
            </w:r>
            <w:r>
              <w:rPr>
                <w:rFonts w:ascii="Times New Roman" w:cs="Times New Roman" w:eastAsia="Times New Roman" w:hAnsi="Times New Roman"/>
                <w:sz w:val="18"/>
                <w:szCs w:val="18"/>
                <w:color w:val="auto"/>
                <w:vertAlign w:val="superscript"/>
              </w:rPr>
              <w:t>(1)</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20" w:type="dxa"/>
            <w:vAlign w:val="bottom"/>
          </w:tcPr>
          <w:p>
            <w:pPr>
              <w:spacing w:after="0"/>
              <w:rPr>
                <w:sz w:val="15"/>
                <w:szCs w:val="15"/>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Key Performance Milestones</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0"/>
        </w:trPr>
        <w:tc>
          <w:tcPr>
            <w:tcW w:w="20" w:type="dxa"/>
            <w:vAlign w:val="bottom"/>
            <w:shd w:val="clear" w:color="auto" w:fill="CCEEFF"/>
          </w:tcPr>
          <w:p>
            <w:pPr>
              <w:spacing w:after="0"/>
              <w:rPr>
                <w:sz w:val="15"/>
                <w:szCs w:val="15"/>
                <w:color w:val="auto"/>
              </w:rPr>
            </w:pPr>
          </w:p>
        </w:tc>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Overall Funding</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100%</w:t>
            </w:r>
          </w:p>
        </w:tc>
      </w:tr>
      <w:tr>
        <w:trPr>
          <w:trHeight w:val="180"/>
        </w:trPr>
        <w:tc>
          <w:tcPr>
            <w:tcW w:w="20" w:type="dxa"/>
            <w:vAlign w:val="bottom"/>
          </w:tcPr>
          <w:p>
            <w:pPr>
              <w:spacing w:after="0"/>
              <w:rPr>
                <w:sz w:val="15"/>
                <w:szCs w:val="15"/>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Safety Adjustment (DART Overage)</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-5%</w:t>
            </w:r>
          </w:p>
        </w:tc>
      </w:tr>
      <w:tr>
        <w:trPr>
          <w:trHeight w:val="180"/>
        </w:trPr>
        <w:tc>
          <w:tcPr>
            <w:tcW w:w="20" w:type="dxa"/>
            <w:vAlign w:val="bottom"/>
            <w:shd w:val="clear" w:color="auto" w:fill="CCEEFF"/>
          </w:tcPr>
          <w:p>
            <w:pPr>
              <w:spacing w:after="0"/>
              <w:rPr>
                <w:sz w:val="15"/>
                <w:szCs w:val="15"/>
                <w:color w:val="auto"/>
              </w:rPr>
            </w:pPr>
          </w:p>
        </w:tc>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Individual Performance Adjustment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1" w:lineRule="exact"/>
        <w:rPr>
          <w:sz w:val="20"/>
          <w:szCs w:val="20"/>
          <w:color w:val="auto"/>
        </w:rPr>
      </w:pPr>
    </w:p>
    <w:p>
      <w:pPr>
        <w:jc w:val="both"/>
        <w:ind w:left="60" w:right="80" w:firstLine="9"/>
        <w:spacing w:after="0" w:line="283" w:lineRule="auto"/>
        <w:tabs>
          <w:tab w:leader="none" w:pos="188" w:val="left"/>
        </w:tabs>
        <w:numPr>
          <w:ilvl w:val="1"/>
          <w:numId w:val="3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 non-GAAP measure, CAFD is defined as adjusted earnings before interest, taxes, depreciation and amortization (Adjusted EBITDA) plus cash distributions/return of investment from unconsolidated affiliates,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p>
      <w:pPr>
        <w:spacing w:after="0" w:line="250" w:lineRule="exact"/>
        <w:rPr>
          <w:rFonts w:ascii="Times New Roman" w:cs="Times New Roman" w:eastAsia="Times New Roman" w:hAnsi="Times New Roman"/>
          <w:sz w:val="14"/>
          <w:szCs w:val="14"/>
          <w:color w:val="auto"/>
          <w:vertAlign w:val="superscript"/>
        </w:rPr>
      </w:pPr>
    </w:p>
    <w:p>
      <w:pPr>
        <w:ind w:left="260" w:right="80" w:hanging="255"/>
        <w:spacing w:after="0" w:line="287" w:lineRule="auto"/>
        <w:tabs>
          <w:tab w:leader="none" w:pos="2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CAFD. The Compensation Committee set the 2025 threshold, target and maximum CAFD performance metric at $370 million, $420 million and $470 million, respectively. For 2025, the CAFD goals and the achieved level are set forth in the chart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CAFD</w:t>
            </w:r>
          </w:p>
        </w:tc>
        <w:tc>
          <w:tcPr>
            <w:tcW w:w="2120" w:type="dxa"/>
            <w:vAlign w:val="bottom"/>
          </w:tcPr>
          <w:p>
            <w:pPr>
              <w:jc w:val="center"/>
              <w:ind w:left="619"/>
              <w:spacing w:after="0"/>
              <w:rPr>
                <w:sz w:val="20"/>
                <w:szCs w:val="20"/>
                <w:color w:val="auto"/>
              </w:rPr>
            </w:pPr>
            <w:r>
              <w:rPr>
                <w:rFonts w:ascii="Times New Roman" w:cs="Times New Roman" w:eastAsia="Times New Roman" w:hAnsi="Times New Roman"/>
                <w:sz w:val="11"/>
                <w:szCs w:val="11"/>
                <w:b w:val="1"/>
                <w:bCs w:val="1"/>
                <w:color w:val="auto"/>
              </w:rPr>
              <w:t>CAFD</w:t>
            </w:r>
          </w:p>
        </w:tc>
        <w:tc>
          <w:tcPr>
            <w:tcW w:w="3520" w:type="dxa"/>
            <w:vAlign w:val="bottom"/>
          </w:tcPr>
          <w:p>
            <w:pPr>
              <w:jc w:val="center"/>
              <w:ind w:left="616"/>
              <w:spacing w:after="0"/>
              <w:rPr>
                <w:sz w:val="20"/>
                <w:szCs w:val="20"/>
                <w:color w:val="auto"/>
              </w:rPr>
            </w:pPr>
            <w:r>
              <w:rPr>
                <w:rFonts w:ascii="Times New Roman" w:cs="Times New Roman" w:eastAsia="Times New Roman" w:hAnsi="Times New Roman"/>
                <w:sz w:val="11"/>
                <w:szCs w:val="11"/>
                <w:b w:val="1"/>
                <w:bCs w:val="1"/>
                <w:color w:val="auto"/>
              </w:rPr>
              <w:t>CAFD</w:t>
            </w:r>
          </w:p>
        </w:tc>
        <w:tc>
          <w:tcPr>
            <w:tcW w:w="256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CAFD</w:t>
            </w:r>
          </w:p>
        </w:tc>
        <w:tc>
          <w:tcPr>
            <w:tcW w:w="80" w:type="dxa"/>
            <w:vAlign w:val="bottom"/>
          </w:tcPr>
          <w:p>
            <w:pPr>
              <w:spacing w:after="0"/>
              <w:rPr>
                <w:sz w:val="12"/>
                <w:szCs w:val="12"/>
                <w:color w:val="auto"/>
              </w:rPr>
            </w:pPr>
          </w:p>
        </w:tc>
      </w:tr>
      <w:tr>
        <w:trPr>
          <w:trHeight w:val="212"/>
        </w:trPr>
        <w:tc>
          <w:tcPr>
            <w:tcW w:w="2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2120" w:type="dxa"/>
            <w:vAlign w:val="bottom"/>
          </w:tcPr>
          <w:p>
            <w:pPr>
              <w:jc w:val="center"/>
              <w:ind w:left="619"/>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3520" w:type="dxa"/>
            <w:vAlign w:val="bottom"/>
          </w:tcPr>
          <w:p>
            <w:pPr>
              <w:jc w:val="center"/>
              <w:ind w:left="63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256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0" w:type="dxa"/>
            <w:vAlign w:val="bottom"/>
          </w:tcPr>
          <w:p>
            <w:pPr>
              <w:spacing w:after="0"/>
              <w:rPr>
                <w:sz w:val="18"/>
                <w:szCs w:val="18"/>
                <w:color w:val="auto"/>
              </w:rPr>
            </w:pPr>
          </w:p>
        </w:tc>
      </w:tr>
      <w:tr>
        <w:trPr>
          <w:trHeight w:val="72"/>
        </w:trPr>
        <w:tc>
          <w:tcPr>
            <w:tcW w:w="260" w:type="dxa"/>
            <w:vAlign w:val="bottom"/>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352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r>
      <w:tr>
        <w:trPr>
          <w:trHeight w:val="171"/>
        </w:trPr>
        <w:tc>
          <w:tcPr>
            <w:tcW w:w="260" w:type="dxa"/>
            <w:vAlign w:val="bottom"/>
          </w:tcPr>
          <w:p>
            <w:pPr>
              <w:spacing w:after="0"/>
              <w:rPr>
                <w:sz w:val="14"/>
                <w:szCs w:val="14"/>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$370 million</w:t>
            </w:r>
          </w:p>
        </w:tc>
        <w:tc>
          <w:tcPr>
            <w:tcW w:w="21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4"/>
                <w:szCs w:val="14"/>
                <w:color w:val="auto"/>
                <w:w w:val="99"/>
              </w:rPr>
              <w:t>$420 million</w:t>
            </w:r>
          </w:p>
        </w:tc>
        <w:tc>
          <w:tcPr>
            <w:tcW w:w="35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4"/>
                <w:szCs w:val="14"/>
                <w:color w:val="auto"/>
                <w:w w:val="99"/>
              </w:rPr>
              <w:t>$470 million</w:t>
            </w:r>
          </w:p>
        </w:tc>
        <w:tc>
          <w:tcPr>
            <w:tcW w:w="256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4"/>
                <w:szCs w:val="14"/>
                <w:color w:val="auto"/>
              </w:rPr>
              <w:t>$430 million</w:t>
            </w:r>
          </w:p>
        </w:tc>
        <w:tc>
          <w:tcPr>
            <w:tcW w:w="80" w:type="dxa"/>
            <w:vAlign w:val="bottom"/>
            <w:shd w:val="clear" w:color="auto" w:fill="CCEEFF"/>
          </w:tcPr>
          <w:p>
            <w:pPr>
              <w:spacing w:after="0"/>
              <w:rPr>
                <w:sz w:val="14"/>
                <w:szCs w:val="14"/>
                <w:color w:val="auto"/>
              </w:rPr>
            </w:pPr>
          </w:p>
        </w:tc>
      </w:tr>
      <w:tr>
        <w:trPr>
          <w:trHeight w:val="763"/>
        </w:trPr>
        <w:tc>
          <w:tcPr>
            <w:tcW w:w="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20" w:type="dxa"/>
            <w:vAlign w:val="bottom"/>
          </w:tcPr>
          <w:p>
            <w:pPr>
              <w:jc w:val="right"/>
              <w:ind w:right="2936"/>
              <w:spacing w:after="0"/>
              <w:rPr>
                <w:sz w:val="20"/>
                <w:szCs w:val="20"/>
                <w:color w:val="auto"/>
              </w:rPr>
            </w:pPr>
            <w:r>
              <w:rPr>
                <w:rFonts w:ascii="Times New Roman" w:cs="Times New Roman" w:eastAsia="Times New Roman" w:hAnsi="Times New Roman"/>
                <w:sz w:val="14"/>
                <w:szCs w:val="14"/>
                <w:color w:val="auto"/>
              </w:rPr>
              <w:t>71</w:t>
            </w: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352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30" w:right="239" w:bottom="1440" w:gutter="0" w:footer="0" w:header="0"/>
        </w:sectPr>
      </w:pPr>
    </w:p>
    <w:bookmarkStart w:id="71" w:name="page72"/>
    <w:bookmarkEnd w:id="71"/>
    <w:p>
      <w:pPr>
        <w:jc w:val="both"/>
        <w:ind w:left="260" w:hanging="255"/>
        <w:spacing w:after="0" w:line="257"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Performance Milestones. “Key performance milestone” performance metrics are established as a defined annual incentive category. The Compensation Committee establishes threshold, target and maximum levels of performance for this category based on the number of milestones achieved. For 2025, a total of eight milestones were established relating to: wind fleet plant availability (based on the percentage of time our wind facilities are capable of generating electricity at their rated capacity(ies), solar fleet plant availability (based on the percentage of time our solar facilities are capable of generating electricity at their rated capacity(ies)), fleet capacity in service (based on the aggregate gigawatt level of total available fleet units that are operational and deployed), late-stage pipeline developments (based on projects that are advancing toward completion or commercial operation), implementation of cost efficiency and savings program, implementation of energy resource planning project, implementation and readiness of Enterprise Resource Planning (ERP), employee engagement survey participation levels (relating to levels of engagement in annual employee engagement survey), and adherence to budget. For 2025, threshold performance required the achievement of three out of the eight milestones, target performance required the achievement of five out of the eight milestones, and maximum performance required the achievement of all eight milestones. Ultimately, performance between target and maximum was attained with the achievement of seven milestones in 2025.</w:t>
      </w:r>
    </w:p>
    <w:p>
      <w:pPr>
        <w:spacing w:after="0" w:line="61" w:lineRule="exact"/>
        <w:rPr>
          <w:rFonts w:ascii="Times New Roman" w:cs="Times New Roman" w:eastAsia="Times New Roman" w:hAnsi="Times New Roman"/>
          <w:sz w:val="14"/>
          <w:szCs w:val="14"/>
          <w:color w:val="auto"/>
        </w:rPr>
      </w:pPr>
    </w:p>
    <w:p>
      <w:pPr>
        <w:jc w:val="both"/>
        <w:ind w:left="260" w:hanging="255"/>
        <w:spacing w:after="0" w:line="264"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Performance. As indicated above, each NEO’s individual performance may (negatively or positively) affect his or her AIP bonus by up to 20% of his or her target award, although no AIP bonus payments can exceed 150% of the target award. Such individual performance is determined on a subjective basis based on the Compensation Committee’s assessment of the Other NEO’s contributions in supporting adherence to budget, support towards the achievement of key performance milestones, and other contributions towards the successful execution of the Company’s business strategy.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 AIP Bonus Opportunity</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threshold, target and maximum AIP bonus opportunities for each NEO for 2025, expressed as a percentage of base salary, were: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86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22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74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Target</w:t>
            </w:r>
          </w:p>
        </w:tc>
      </w:tr>
      <w:tr>
        <w:trPr>
          <w:trHeight w:val="137"/>
        </w:trPr>
        <w:tc>
          <w:tcPr>
            <w:tcW w:w="20" w:type="dxa"/>
            <w:vAlign w:val="bottom"/>
          </w:tcPr>
          <w:p>
            <w:pPr>
              <w:spacing w:after="0"/>
              <w:rPr>
                <w:sz w:val="11"/>
                <w:szCs w:val="11"/>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140" w:type="dxa"/>
            <w:vAlign w:val="bottom"/>
          </w:tcPr>
          <w:p>
            <w:pPr>
              <w:jc w:val="center"/>
              <w:spacing w:after="0" w:line="137" w:lineRule="exact"/>
              <w:rPr>
                <w:sz w:val="20"/>
                <w:szCs w:val="20"/>
                <w:color w:val="auto"/>
              </w:rPr>
            </w:pPr>
            <w:r>
              <w:rPr>
                <w:rFonts w:ascii="Times New Roman" w:cs="Times New Roman" w:eastAsia="Times New Roman" w:hAnsi="Times New Roman"/>
                <w:sz w:val="11"/>
                <w:szCs w:val="11"/>
                <w:b w:val="1"/>
                <w:bCs w:val="1"/>
                <w:color w:val="auto"/>
                <w:w w:val="88"/>
              </w:rPr>
              <w:t>(%)</w:t>
            </w:r>
            <w:r>
              <w:rPr>
                <w:rFonts w:ascii="Times New Roman" w:cs="Times New Roman" w:eastAsia="Times New Roman" w:hAnsi="Times New Roman"/>
                <w:sz w:val="14"/>
                <w:szCs w:val="14"/>
                <w:b w:val="1"/>
                <w:bCs w:val="1"/>
                <w:color w:val="auto"/>
                <w:w w:val="88"/>
                <w:vertAlign w:val="superscript"/>
              </w:rPr>
              <w:t>(1)</w:t>
            </w:r>
          </w:p>
        </w:tc>
        <w:tc>
          <w:tcPr>
            <w:tcW w:w="860" w:type="dxa"/>
            <w:vAlign w:val="bottom"/>
          </w:tcPr>
          <w:p>
            <w:pPr>
              <w:jc w:val="center"/>
              <w:spacing w:after="0" w:line="137" w:lineRule="exact"/>
              <w:rPr>
                <w:sz w:val="20"/>
                <w:szCs w:val="20"/>
                <w:color w:val="auto"/>
              </w:rPr>
            </w:pPr>
            <w:r>
              <w:rPr>
                <w:rFonts w:ascii="Times New Roman" w:cs="Times New Roman" w:eastAsia="Times New Roman" w:hAnsi="Times New Roman"/>
                <w:sz w:val="11"/>
                <w:szCs w:val="11"/>
                <w:b w:val="1"/>
                <w:bCs w:val="1"/>
                <w:color w:val="auto"/>
                <w:w w:val="95"/>
              </w:rPr>
              <w:t>(%)</w:t>
            </w:r>
            <w:r>
              <w:rPr>
                <w:rFonts w:ascii="Times New Roman" w:cs="Times New Roman" w:eastAsia="Times New Roman" w:hAnsi="Times New Roman"/>
                <w:sz w:val="14"/>
                <w:szCs w:val="14"/>
                <w:b w:val="1"/>
                <w:bCs w:val="1"/>
                <w:color w:val="auto"/>
                <w:w w:val="95"/>
                <w:vertAlign w:val="superscript"/>
              </w:rPr>
              <w:t>(1)</w:t>
            </w:r>
          </w:p>
        </w:tc>
        <w:tc>
          <w:tcPr>
            <w:tcW w:w="1220" w:type="dxa"/>
            <w:vAlign w:val="bottom"/>
          </w:tcPr>
          <w:p>
            <w:pPr>
              <w:jc w:val="center"/>
              <w:ind w:right="135"/>
              <w:spacing w:after="0" w:line="137" w:lineRule="exact"/>
              <w:rPr>
                <w:sz w:val="20"/>
                <w:szCs w:val="20"/>
                <w:color w:val="auto"/>
              </w:rPr>
            </w:pPr>
            <w:r>
              <w:rPr>
                <w:rFonts w:ascii="Times New Roman" w:cs="Times New Roman" w:eastAsia="Times New Roman" w:hAnsi="Times New Roman"/>
                <w:sz w:val="11"/>
                <w:szCs w:val="11"/>
                <w:b w:val="1"/>
                <w:bCs w:val="1"/>
                <w:color w:val="auto"/>
                <w:w w:val="88"/>
              </w:rPr>
              <w:t>(%)</w:t>
            </w:r>
            <w:r>
              <w:rPr>
                <w:rFonts w:ascii="Times New Roman" w:cs="Times New Roman" w:eastAsia="Times New Roman" w:hAnsi="Times New Roman"/>
                <w:sz w:val="14"/>
                <w:szCs w:val="14"/>
                <w:b w:val="1"/>
                <w:bCs w:val="1"/>
                <w:color w:val="auto"/>
                <w:w w:val="88"/>
                <w:vertAlign w:val="superscript"/>
              </w:rPr>
              <w:t>(1)</w:t>
            </w:r>
          </w:p>
        </w:tc>
        <w:tc>
          <w:tcPr>
            <w:tcW w:w="174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Amount ($)</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3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Craig Cornelius</w:t>
            </w:r>
            <w:r>
              <w:rPr>
                <w:rFonts w:ascii="Times New Roman" w:cs="Times New Roman" w:eastAsia="Times New Roman" w:hAnsi="Times New Roman"/>
                <w:sz w:val="18"/>
                <w:szCs w:val="18"/>
                <w:color w:val="auto"/>
                <w:vertAlign w:val="superscript"/>
              </w:rPr>
              <w:t>(2)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131.25</w:t>
            </w:r>
          </w:p>
        </w:tc>
        <w:tc>
          <w:tcPr>
            <w:tcW w:w="86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4"/>
                <w:szCs w:val="14"/>
                <w:color w:val="auto"/>
              </w:rPr>
              <w:t>175</w:t>
            </w:r>
          </w:p>
        </w:tc>
        <w:tc>
          <w:tcPr>
            <w:tcW w:w="1220" w:type="dxa"/>
            <w:vAlign w:val="bottom"/>
            <w:shd w:val="clear" w:color="auto" w:fill="CCEEFF"/>
          </w:tcPr>
          <w:p>
            <w:pPr>
              <w:jc w:val="center"/>
              <w:ind w:right="155"/>
              <w:spacing w:after="0"/>
              <w:rPr>
                <w:sz w:val="20"/>
                <w:szCs w:val="20"/>
                <w:color w:val="auto"/>
              </w:rPr>
            </w:pPr>
            <w:r>
              <w:rPr>
                <w:rFonts w:ascii="Times New Roman" w:cs="Times New Roman" w:eastAsia="Times New Roman" w:hAnsi="Times New Roman"/>
                <w:sz w:val="14"/>
                <w:szCs w:val="14"/>
                <w:color w:val="auto"/>
              </w:rPr>
              <w:t>262.5</w:t>
            </w:r>
          </w:p>
        </w:tc>
        <w:tc>
          <w:tcPr>
            <w:tcW w:w="1740" w:type="dxa"/>
            <w:vAlign w:val="bottom"/>
            <w:shd w:val="clear" w:color="auto" w:fill="CCEEFF"/>
          </w:tcPr>
          <w:p>
            <w:pPr>
              <w:jc w:val="center"/>
              <w:ind w:right="155"/>
              <w:spacing w:after="0"/>
              <w:rPr>
                <w:sz w:val="20"/>
                <w:szCs w:val="20"/>
                <w:color w:val="auto"/>
              </w:rPr>
            </w:pPr>
            <w:r>
              <w:rPr>
                <w:rFonts w:ascii="Times New Roman" w:cs="Times New Roman" w:eastAsia="Times New Roman" w:hAnsi="Times New Roman"/>
                <w:sz w:val="14"/>
                <w:szCs w:val="14"/>
                <w:color w:val="auto"/>
                <w:w w:val="99"/>
              </w:rPr>
              <w:t>1,312,500</w:t>
            </w:r>
          </w:p>
        </w:tc>
      </w:tr>
      <w:tr>
        <w:trPr>
          <w:trHeight w:val="180"/>
        </w:trPr>
        <w:tc>
          <w:tcPr>
            <w:tcW w:w="20" w:type="dxa"/>
            <w:vAlign w:val="bottom"/>
          </w:tcPr>
          <w:p>
            <w:pPr>
              <w:spacing w:after="0"/>
              <w:rPr>
                <w:sz w:val="15"/>
                <w:szCs w:val="15"/>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Sarah Rubenstein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32.50</w:t>
            </w:r>
          </w:p>
        </w:tc>
        <w:tc>
          <w:tcPr>
            <w:tcW w:w="860" w:type="dxa"/>
            <w:vAlign w:val="bottom"/>
          </w:tcPr>
          <w:p>
            <w:pPr>
              <w:jc w:val="center"/>
              <w:ind w:left="15"/>
              <w:spacing w:after="0"/>
              <w:rPr>
                <w:sz w:val="20"/>
                <w:szCs w:val="20"/>
                <w:color w:val="auto"/>
              </w:rPr>
            </w:pPr>
            <w:r>
              <w:rPr>
                <w:rFonts w:ascii="Times New Roman" w:cs="Times New Roman" w:eastAsia="Times New Roman" w:hAnsi="Times New Roman"/>
                <w:sz w:val="14"/>
                <w:szCs w:val="14"/>
                <w:color w:val="auto"/>
                <w:w w:val="99"/>
              </w:rPr>
              <w:t>65</w:t>
            </w: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color w:val="auto"/>
              </w:rPr>
              <w:t>130</w:t>
            </w:r>
          </w:p>
        </w:tc>
        <w:tc>
          <w:tcPr>
            <w:tcW w:w="1740" w:type="dxa"/>
            <w:vAlign w:val="bottom"/>
          </w:tcPr>
          <w:p>
            <w:pPr>
              <w:jc w:val="center"/>
              <w:ind w:right="175"/>
              <w:spacing w:after="0"/>
              <w:rPr>
                <w:sz w:val="20"/>
                <w:szCs w:val="20"/>
                <w:color w:val="auto"/>
              </w:rPr>
            </w:pPr>
            <w:r>
              <w:rPr>
                <w:rFonts w:ascii="Times New Roman" w:cs="Times New Roman" w:eastAsia="Times New Roman" w:hAnsi="Times New Roman"/>
                <w:sz w:val="14"/>
                <w:szCs w:val="14"/>
                <w:color w:val="auto"/>
              </w:rPr>
              <w:t>283,156</w:t>
            </w:r>
          </w:p>
        </w:tc>
      </w:tr>
      <w:tr>
        <w:trPr>
          <w:trHeight w:val="180"/>
        </w:trPr>
        <w:tc>
          <w:tcPr>
            <w:tcW w:w="2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P. Malcarney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32.50</w:t>
            </w:r>
          </w:p>
        </w:tc>
        <w:tc>
          <w:tcPr>
            <w:tcW w:w="86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4"/>
                <w:szCs w:val="14"/>
                <w:color w:val="auto"/>
                <w:w w:val="99"/>
              </w:rPr>
              <w:t>65</w:t>
            </w:r>
          </w:p>
        </w:tc>
        <w:tc>
          <w:tcPr>
            <w:tcW w:w="122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4"/>
                <w:szCs w:val="14"/>
                <w:color w:val="auto"/>
              </w:rPr>
              <w:t>130</w:t>
            </w:r>
          </w:p>
        </w:tc>
        <w:tc>
          <w:tcPr>
            <w:tcW w:w="1740" w:type="dxa"/>
            <w:vAlign w:val="bottom"/>
            <w:shd w:val="clear" w:color="auto" w:fill="CCEEFF"/>
          </w:tcPr>
          <w:p>
            <w:pPr>
              <w:jc w:val="center"/>
              <w:ind w:right="175"/>
              <w:spacing w:after="0"/>
              <w:rPr>
                <w:sz w:val="20"/>
                <w:szCs w:val="20"/>
                <w:color w:val="auto"/>
              </w:rPr>
            </w:pPr>
            <w:r>
              <w:rPr>
                <w:rFonts w:ascii="Times New Roman" w:cs="Times New Roman" w:eastAsia="Times New Roman" w:hAnsi="Times New Roman"/>
                <w:sz w:val="14"/>
                <w:szCs w:val="14"/>
                <w:color w:val="auto"/>
              </w:rPr>
              <w:t>282,690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80" w:hanging="111"/>
        <w:spacing w:after="0"/>
        <w:tabs>
          <w:tab w:leader="none" w:pos="180" w:val="left"/>
        </w:tabs>
        <w:numPr>
          <w:ilvl w:val="0"/>
          <w:numId w:val="3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This assumes that the CAFD performance metric and all other quantitative and qualitative goals, including the key performance milestones, are achieved at threshold, target and maximum levels, as applicable.</w:t>
      </w:r>
    </w:p>
    <w:p>
      <w:pPr>
        <w:spacing w:after="0" w:line="43" w:lineRule="exact"/>
        <w:rPr>
          <w:rFonts w:ascii="Times New Roman" w:cs="Times New Roman" w:eastAsia="Times New Roman" w:hAnsi="Times New Roman"/>
          <w:sz w:val="7"/>
          <w:szCs w:val="7"/>
          <w:color w:val="auto"/>
        </w:rPr>
      </w:pPr>
    </w:p>
    <w:p>
      <w:pPr>
        <w:jc w:val="both"/>
        <w:ind w:left="60" w:right="80" w:firstLine="9"/>
        <w:spacing w:after="0" w:line="261" w:lineRule="auto"/>
        <w:tabs>
          <w:tab w:leader="none" w:pos="174" w:val="left"/>
        </w:tabs>
        <w:numPr>
          <w:ilvl w:val="0"/>
          <w:numId w:val="38"/>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Mr. Cornelius’ AIP bonus is payable solely by CEG in accordance with his employment agreement and such bonus is not subject to the Payroll Component. The above-described “Threshold” and “Maximum” figures for Mr. Cornelius represent amounts that are equal to 75% and 150%, respectively, of the above-described “Target” figure. As a result, Mr. Cornelius’ annual bonus is included in the above table for the sake of completeness, but is not included in the Summary Compensation Table.</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2025 AIP Bonuses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noted above, with respect to AIP bonuses for 2025, the CAFD target was $420 million and the key performance milestone target was achievement of seven out of eight key performance milestones.</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For 2025, CAFD achievement was above target and below maximum at approximately $430 million, seven out of eight key performance milestones were achieved, and no adjustments were made or required with respect to DART Overages. Due to the achievement specified above, 2025 AIP bonuses were paid, and at levels between target and maximum for each of Ms. Rubenstein and Mr. Malcarney. The Compensation Committee elected to not apply an individual performance modifier with respect to any of the NEOs’ 2025 AIP bonuses. If performance falls between threshold and target or target and maximum, the bonus opportunity will be determined on an interpolated basis.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2" w:name="page73"/>
    <w:bookmarkEnd w:id="72"/>
    <w:p>
      <w:pPr>
        <w:ind w:left="320"/>
        <w:spacing w:after="0"/>
        <w:rPr>
          <w:sz w:val="20"/>
          <w:szCs w:val="20"/>
          <w:color w:val="auto"/>
        </w:rPr>
      </w:pPr>
      <w:r>
        <w:rPr>
          <w:rFonts w:ascii="Times New Roman" w:cs="Times New Roman" w:eastAsia="Times New Roman" w:hAnsi="Times New Roman"/>
          <w:sz w:val="14"/>
          <w:szCs w:val="14"/>
          <w:color w:val="auto"/>
        </w:rPr>
        <w:t>The annual incentive bonuses paid to NEOs for 2025 were: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Annual</w:t>
            </w:r>
          </w:p>
        </w:tc>
        <w:tc>
          <w:tcPr>
            <w:tcW w:w="0" w:type="dxa"/>
            <w:vAlign w:val="bottom"/>
          </w:tcPr>
          <w:p>
            <w:pPr>
              <w:spacing w:after="0"/>
              <w:rPr>
                <w:sz w:val="1"/>
                <w:szCs w:val="1"/>
                <w:color w:val="auto"/>
              </w:rPr>
            </w:pPr>
          </w:p>
        </w:tc>
      </w:tr>
      <w:tr>
        <w:trPr>
          <w:trHeight w:val="147"/>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Annual Base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Individual Performance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 Target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Incentive</w:t>
            </w:r>
          </w:p>
        </w:tc>
        <w:tc>
          <w:tcPr>
            <w:tcW w:w="0" w:type="dxa"/>
            <w:vAlign w:val="bottom"/>
          </w:tcPr>
          <w:p>
            <w:pPr>
              <w:spacing w:after="0"/>
              <w:rPr>
                <w:sz w:val="1"/>
                <w:szCs w:val="1"/>
                <w:color w:val="auto"/>
              </w:rPr>
            </w:pPr>
          </w:p>
        </w:tc>
      </w:tr>
      <w:tr>
        <w:trPr>
          <w:trHeight w:val="155"/>
        </w:trPr>
        <w:tc>
          <w:tcPr>
            <w:tcW w:w="5540" w:type="dxa"/>
            <w:vAlign w:val="bottom"/>
            <w:gridSpan w:val="2"/>
            <w:vMerge w:val="continue"/>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Salary Achieved (%)</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Modifier (+/- 20%)</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Achieved (%)</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Payment ($)</w:t>
            </w:r>
          </w:p>
        </w:tc>
        <w:tc>
          <w:tcPr>
            <w:tcW w:w="0" w:type="dxa"/>
            <w:vAlign w:val="bottom"/>
          </w:tcPr>
          <w:p>
            <w:pPr>
              <w:spacing w:after="0"/>
              <w:rPr>
                <w:sz w:val="1"/>
                <w:szCs w:val="1"/>
                <w:color w:val="auto"/>
              </w:rPr>
            </w:pPr>
          </w:p>
        </w:tc>
      </w:tr>
      <w:tr>
        <w:trPr>
          <w:trHeight w:val="175"/>
        </w:trPr>
        <w:tc>
          <w:tcPr>
            <w:tcW w:w="54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Craig Cornelius</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4"/>
                <w:szCs w:val="14"/>
                <w:color w:val="auto"/>
              </w:rPr>
              <w:t>1,614,375</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18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Sarah Rubenstein</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348,281</w:t>
            </w:r>
          </w:p>
        </w:tc>
        <w:tc>
          <w:tcPr>
            <w:tcW w:w="0" w:type="dxa"/>
            <w:vAlign w:val="bottom"/>
          </w:tcPr>
          <w:p>
            <w:pPr>
              <w:spacing w:after="0"/>
              <w:rPr>
                <w:sz w:val="1"/>
                <w:szCs w:val="1"/>
                <w:color w:val="auto"/>
              </w:rPr>
            </w:pPr>
          </w:p>
        </w:tc>
      </w:tr>
      <w:tr>
        <w:trPr>
          <w:trHeight w:val="180"/>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Kevin P. Malcarney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1" w:lineRule="exact"/>
        <w:rPr>
          <w:sz w:val="20"/>
          <w:szCs w:val="20"/>
          <w:color w:val="auto"/>
        </w:rPr>
      </w:pPr>
    </w:p>
    <w:p>
      <w:pPr>
        <w:ind w:left="60" w:firstLine="9"/>
        <w:spacing w:after="0" w:line="258" w:lineRule="auto"/>
        <w:tabs>
          <w:tab w:leader="none" w:pos="164" w:val="left"/>
        </w:tabs>
        <w:numPr>
          <w:ilvl w:val="0"/>
          <w:numId w:val="3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Mr. Cornelius’ annual bonus is payable solely by CEG in accordance with his employment agreement and is included in the above table for the sake of completeness, but is not included in the Summary Compensation Table.</w:t>
      </w:r>
    </w:p>
    <w:p>
      <w:pPr>
        <w:ind w:left="180" w:hanging="111"/>
        <w:spacing w:after="0"/>
        <w:tabs>
          <w:tab w:leader="none" w:pos="180" w:val="left"/>
        </w:tabs>
        <w:numPr>
          <w:ilvl w:val="0"/>
          <w:numId w:val="3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Mr. Cornelius may elect to receive a portion of his annual bonus in shares of Company stock granted pursuant to CEG’s equity compensation program that would vest 100% immediately upon their grant.</w:t>
      </w:r>
    </w:p>
    <w:p>
      <w:pPr>
        <w:spacing w:after="0" w:line="77"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Long</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-36195</wp:posOffset>
            </wp:positionV>
            <wp:extent cx="55880" cy="36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We believe that equity awards directly align our NEOs’ interests with those of our stockholders. In 2025, the Compensation Committee granted our NEOs a combination of (i) performance-based equity awards that are intended to be linked to long-term stockholder value creation, and (ii) time-based equity awards that represent a critical component of our long-term incentive compensation due to the retention aspects of the awards. To enhance our compensation program’s focus on Company performance, the majority of these long-term incentive awards (approximately 67%) were performance-based (i.e., granted as PSUs). The remainder of our long-term incentive awards (approximately 33%) were time-based (i.e., granted as RSUs which vest over three years). We believe that our AIP appropriately focuses our NEOs on shorter-term (one-year) financial metrics, while our LTIP emphasizes to our NEOs the importance of long-term stockholder value creation (i.e., three-year average per share CAFD performance (“Average CAFD Per Share”) with respect to PSUs granted in 2025 (“CPSUs”) and three-year relative TSR outperformance (“TPSUs”)).</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Compensation Committee and senior management monitor the Company’s equity grant practices to evaluate whether such policies comply with governing regulations and are consistent with good corporate practices. Such grants are typically made in mid-April each year. In addition, the Compensation Committee may make grants at any time during the year it deems appropriate, including with respect to new hires or transitions. Therefore, the proximity of any awards to other significant corporate events is coincidental. We do not grant, and in 2025 did not grant, stock options in anticipation of the release of material non-public information (“MNPI”). We attempt to make equity awards during periods when we do not have MNPI that could impact our stock price and we do not time, and in 2025 did not time, the release of MNPI based on equity grant dates or for the purpose of affecting the value of executive compensation.</w:t>
      </w:r>
    </w:p>
    <w:p>
      <w:pPr>
        <w:spacing w:after="0" w:line="1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For 2025, Mr. Cornelius target LTIP awards were equal to 367% of his base salary and Ms. Rubenstein’s and Mr. Malcarney’s target LTIP awards were equal to 125% of their respective base salaries. Mr. Cornelius’ target LTIP award in 2025 increased from the 350% level specified in his employment agreement to 367% to recognize his performance. Our target LTIP awards for the Other NEOs remained unchanged from 2024 (i.e., as a percentage of their respective base salaries). In addition, Ms. Rubenstein received an additional one-time grant of 6,244 RSUs in recognition of achieving several key company initiatives. As noted above, in 2024, Mr. Cornelius received a one-time award of 375,000 restricted shares of Class C common stock of Clearway, Inc. under CEG’s equity compensation program (i.e., outside of our LTIP), which vests in three equal installments, with one-third having vested on October 1, 2024 and one-third having vested on October 1, 2025 and the remaining one-third vesting on October 1,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Stock Units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u w:val="single" w:color="auto"/>
          <w:color w:val="auto"/>
        </w:rPr>
        <w:t>CPSU Awards</w:t>
      </w:r>
      <w:r>
        <w:rPr>
          <w:rFonts w:ascii="Times New Roman" w:cs="Times New Roman" w:eastAsia="Times New Roman" w:hAnsi="Times New Roman"/>
          <w:sz w:val="14"/>
          <w:szCs w:val="14"/>
          <w:color w:val="auto"/>
        </w:rPr>
        <w:t>. Each CPSU represents the potential to receive one share of Class C common stock, as adjusted, based on the Company’s Average CAFD Per Share. Average CAFD Per Share is calculated by dividing (i) the sum of our per share CAFD for each fiscal year during the relevant three-year performance period that applies to the underlying CPSU award by (ii) three. Per share CAFD is measured for each fiscal year by dividing (x) the “cash available for distribution” within the meaning of, and as reported in, the current report on Form 8-K filed by the Company that reports the Company’s fourth quarter and year-to-date financial results for the quarter and fiscal year ended December 31 of the relevant fiscal year, by (y) the weighted average number of common shares of the Company that are outstanding as of the last day of such fiscal year.</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the event Average CAFD Per Share is (i) below 2.18, or “Below Threshold” performance, the award is forfeited, (ii) equal to 2.18, or “Threshold” performance, 50% of the award will be paid, (iii) equal to 2.33, or “Target” performance, 100% of the award will be paid, or (iv) at or above 2.46, or “Maximum” performance, a maximum payout of 200% of the award will be paid. In the event Average CAFD Per Share is between 2.18 and 2.33, or between 2.33 and 2.46, payouts will be based on an interpolated calculation.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3" w:name="page74"/>
    <w:bookmarkEnd w:id="73"/>
    <w:p>
      <w:pPr>
        <w:ind w:left="320"/>
        <w:spacing w:after="0"/>
        <w:rPr>
          <w:sz w:val="20"/>
          <w:szCs w:val="20"/>
          <w:color w:val="auto"/>
        </w:rPr>
      </w:pPr>
      <w:r>
        <w:rPr>
          <w:rFonts w:ascii="Times New Roman" w:cs="Times New Roman" w:eastAsia="Times New Roman" w:hAnsi="Times New Roman"/>
          <w:sz w:val="14"/>
          <w:szCs w:val="14"/>
          <w:color w:val="auto"/>
        </w:rPr>
        <w:t>The table below illustrates the design of our CPSUs in 2025:</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Targets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CAFD Per Share Performance Requirement</w:t>
            </w:r>
          </w:p>
        </w:tc>
        <w:tc>
          <w:tcPr>
            <w:tcW w:w="362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Payout Opportunity</w:t>
            </w:r>
          </w:p>
        </w:tc>
      </w:tr>
      <w:tr>
        <w:trPr>
          <w:trHeight w:val="192"/>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Maximum</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Greater than or equal to 2.46</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200%</w:t>
            </w:r>
          </w:p>
        </w:tc>
      </w:tr>
      <w:tr>
        <w:trPr>
          <w:trHeight w:val="192"/>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4"/>
              </w:rPr>
              <w:t>Target</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Equal to 2.33</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2"/>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Threshold</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Equal to 2.18</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r>
      <w:tr>
        <w:trPr>
          <w:trHeight w:val="192"/>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Below Threshold</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Less than 2.18</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0%</w:t>
            </w:r>
          </w:p>
        </w:tc>
      </w:tr>
    </w:tbl>
    <w:p>
      <w:pPr>
        <w:spacing w:after="0" w:line="251"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4"/>
          <w:szCs w:val="14"/>
          <w:u w:val="single" w:color="auto"/>
          <w:color w:val="auto"/>
        </w:rPr>
        <w:t>TPSU Awards</w:t>
      </w:r>
      <w:r>
        <w:rPr>
          <w:rFonts w:ascii="Times New Roman" w:cs="Times New Roman" w:eastAsia="Times New Roman" w:hAnsi="Times New Roman"/>
          <w:sz w:val="14"/>
          <w:szCs w:val="14"/>
          <w:color w:val="auto"/>
        </w:rPr>
        <w:t>. Each TPSU represents the potential to receive one share of Class C common stock, as adjusted, based on the Company’s TSR performance ranked against the TSR performance of a comparator group of similar companies (the “Performance Peer Group”) after the completion of a specified performance period. The performance period for such TPSUs generally is three years, but in the case of the initial PSU award granted to our Current CEO pursuant to his employment agreement, such PSU award covers the period from April 30, 2024 through December 31, 2026.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01"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4"/>
          <w:szCs w:val="14"/>
          <w:color w:val="auto"/>
        </w:rPr>
        <w:t>The payout of shares of Class C common stock at the end of the performance period with respect to such TPSUs is based on the Company’s TSR performance percentile rank compared with the TSR performance of the Performance Peer Group. To ensure a rigorous program design, the target-level payout (100% of shares granted) generally requires the Company to perform at the 50th percentile. However, to induce management to achieve greater than target level (i.e., 50th percentile) performance in a down market, in the event that the Company’s TSR performance declines by more than 20% over the performance period, the target 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01" w:lineRule="exact"/>
        <w:rPr>
          <w:sz w:val="20"/>
          <w:szCs w:val="20"/>
          <w:color w:val="auto"/>
        </w:rPr>
      </w:pPr>
    </w:p>
    <w:p>
      <w:pPr>
        <w:jc w:val="both"/>
        <w:ind w:right="20" w:firstLine="318"/>
        <w:spacing w:after="0" w:line="258" w:lineRule="auto"/>
        <w:rPr>
          <w:sz w:val="20"/>
          <w:szCs w:val="20"/>
          <w:color w:val="auto"/>
        </w:rPr>
      </w:pPr>
      <w:r>
        <w:rPr>
          <w:rFonts w:ascii="Times New Roman" w:cs="Times New Roman" w:eastAsia="Times New Roman" w:hAnsi="Times New Roman"/>
          <w:sz w:val="14"/>
          <w:szCs w:val="14"/>
          <w:color w:val="auto"/>
        </w:rPr>
        <w:t>In the event relative performance is (i) below the 25th percentile, or “Below Threshold” performance, the award will be forfeited, (ii) equal to the 25th percentile, or “Threshold” performance, 50% of the award will be paid (iii) equal to the 50th percentile, or “Standard Target” performance (or the 60th percentile if our absolute TSR performance is negative over the performance period, or “Modified Target” performance), 100% of the award will be paid, or (iv) at or above the 75th percentile, or “Maximum” performance, a maximum payout of 150% of the target (or 100% of the target if our absolute TSR performance is negative over the performance period) will be paid. If relative performance is between (x) the 25th percentile and the 50th percentile (or the 60th percentile as described above), or (y) the 50th percentile and the 75th percentile (in the event our absolute TSR is greater than or equal to zero over the performance period), then payouts will be based on an interpolated calculation. Based on the Company’s TSR performance ranked against the TSR performance of the Performance Peer Group over the three-year performance period ending on December 31, 2025, the TPSUs granted in 2023 will vest on April 15, 2026 at 107% of target.</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illustrates the design of our outstanding TPSUs in 2025:</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300" w:type="dxa"/>
            <w:vAlign w:val="bottom"/>
            <w:tcBorders>
              <w:top w:val="single" w:sz="8" w:color="auto"/>
              <w:left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Performance Targets</w:t>
            </w:r>
          </w:p>
        </w:tc>
        <w:tc>
          <w:tcPr>
            <w:tcW w:w="1820" w:type="dxa"/>
            <w:vAlign w:val="bottom"/>
            <w:tcBorders>
              <w:top w:val="single" w:sz="8" w:color="auto"/>
              <w:bottom w:val="single" w:sz="8" w:color="auto"/>
            </w:tcBorders>
          </w:tcPr>
          <w:p>
            <w:pPr>
              <w:spacing w:after="0"/>
              <w:rPr>
                <w:sz w:val="16"/>
                <w:szCs w:val="16"/>
                <w:color w:val="auto"/>
              </w:rPr>
            </w:pPr>
          </w:p>
        </w:tc>
        <w:tc>
          <w:tcPr>
            <w:tcW w:w="3800" w:type="dxa"/>
            <w:vAlign w:val="bottom"/>
            <w:tcBorders>
              <w:top w:val="single" w:sz="8" w:color="auto"/>
              <w:bottom w:val="single" w:sz="8" w:color="auto"/>
              <w:right w:val="single" w:sz="8" w:color="auto"/>
            </w:tcBorders>
            <w:gridSpan w:val="2"/>
          </w:tcPr>
          <w:p>
            <w:pPr>
              <w:jc w:val="center"/>
              <w:ind w:right="1629"/>
              <w:spacing w:after="0"/>
              <w:rPr>
                <w:sz w:val="20"/>
                <w:szCs w:val="20"/>
                <w:color w:val="auto"/>
              </w:rPr>
            </w:pPr>
            <w:r>
              <w:rPr>
                <w:rFonts w:ascii="Times New Roman" w:cs="Times New Roman" w:eastAsia="Times New Roman" w:hAnsi="Times New Roman"/>
                <w:sz w:val="14"/>
                <w:szCs w:val="14"/>
                <w:b w:val="1"/>
                <w:bCs w:val="1"/>
                <w:color w:val="auto"/>
              </w:rPr>
              <w:t>Performance Requirement</w:t>
            </w:r>
          </w:p>
        </w:tc>
        <w:tc>
          <w:tcPr>
            <w:tcW w:w="23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Payout Opportunity</w:t>
            </w:r>
          </w:p>
        </w:tc>
        <w:tc>
          <w:tcPr>
            <w:tcW w:w="0" w:type="dxa"/>
            <w:vAlign w:val="bottom"/>
          </w:tcPr>
          <w:p>
            <w:pPr>
              <w:spacing w:after="0"/>
              <w:rPr>
                <w:sz w:val="1"/>
                <w:szCs w:val="1"/>
                <w:color w:val="auto"/>
              </w:rPr>
            </w:pPr>
          </w:p>
        </w:tc>
      </w:tr>
      <w:tr>
        <w:trPr>
          <w:trHeight w:val="171"/>
        </w:trPr>
        <w:tc>
          <w:tcPr>
            <w:tcW w:w="33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i w:val="1"/>
                <w:iCs w:val="1"/>
                <w:color w:val="auto"/>
              </w:rPr>
              <w:t>Maximum</w:t>
            </w:r>
          </w:p>
        </w:tc>
        <w:tc>
          <w:tcPr>
            <w:tcW w:w="1820" w:type="dxa"/>
            <w:vAlign w:val="bottom"/>
            <w:tcBorders>
              <w:bottom w:val="single" w:sz="8" w:color="auto"/>
            </w:tcBorders>
            <w:shd w:val="clear" w:color="auto" w:fill="CCEEFF"/>
          </w:tcPr>
          <w:p>
            <w:pPr>
              <w:spacing w:after="0"/>
              <w:rPr>
                <w:sz w:val="14"/>
                <w:szCs w:val="14"/>
                <w:color w:val="auto"/>
              </w:rPr>
            </w:pPr>
          </w:p>
        </w:tc>
        <w:tc>
          <w:tcPr>
            <w:tcW w:w="3800" w:type="dxa"/>
            <w:vAlign w:val="bottom"/>
            <w:tcBorders>
              <w:bottom w:val="single" w:sz="8" w:color="auto"/>
              <w:right w:val="single" w:sz="8" w:color="auto"/>
            </w:tcBorders>
            <w:gridSpan w:val="2"/>
            <w:shd w:val="clear" w:color="auto" w:fill="CCEEFF"/>
          </w:tcPr>
          <w:p>
            <w:pPr>
              <w:jc w:val="center"/>
              <w:ind w:right="1629"/>
              <w:spacing w:after="0"/>
              <w:rPr>
                <w:sz w:val="20"/>
                <w:szCs w:val="20"/>
                <w:color w:val="auto"/>
              </w:rPr>
            </w:pPr>
            <w:r>
              <w:rPr>
                <w:rFonts w:ascii="Times New Roman" w:cs="Times New Roman" w:eastAsia="Times New Roman" w:hAnsi="Times New Roman"/>
                <w:sz w:val="14"/>
                <w:szCs w:val="14"/>
                <w:color w:val="auto"/>
              </w:rPr>
              <w:t>75th percentile or above</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9"/>
        </w:trPr>
        <w:tc>
          <w:tcPr>
            <w:tcW w:w="3300" w:type="dxa"/>
            <w:vAlign w:val="bottom"/>
            <w:tcBorders>
              <w:left w:val="single" w:sz="8" w:color="auto"/>
              <w:right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Modified Target:</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tcPr>
          <w:p>
            <w:pPr>
              <w:spacing w:after="0"/>
              <w:rPr>
                <w:sz w:val="15"/>
                <w:szCs w:val="15"/>
                <w:color w:val="auto"/>
              </w:rPr>
            </w:pPr>
          </w:p>
        </w:tc>
        <w:tc>
          <w:tcPr>
            <w:tcW w:w="182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Standard Target:</w:t>
            </w:r>
          </w:p>
        </w:tc>
        <w:tc>
          <w:tcPr>
            <w:tcW w:w="40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60th percentile</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i w:val="1"/>
                <w:iCs w:val="1"/>
                <w:color w:val="auto"/>
              </w:rPr>
              <w:t>Target</w:t>
            </w:r>
          </w:p>
        </w:tc>
        <w:tc>
          <w:tcPr>
            <w:tcW w:w="182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50th percentile</w:t>
            </w:r>
          </w:p>
        </w:tc>
        <w:tc>
          <w:tcPr>
            <w:tcW w:w="40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(less than −20% absolute TSR)</w:t>
            </w: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53"/>
        </w:trPr>
        <w:tc>
          <w:tcPr>
            <w:tcW w:w="330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3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i w:val="1"/>
                <w:iCs w:val="1"/>
                <w:color w:val="auto"/>
              </w:rPr>
              <w:t>Threshold</w:t>
            </w:r>
          </w:p>
        </w:tc>
        <w:tc>
          <w:tcPr>
            <w:tcW w:w="18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right w:val="single" w:sz="8" w:color="CCEEFF"/>
            </w:tcBorders>
            <w:shd w:val="clear" w:color="auto" w:fill="CCEEFF"/>
          </w:tcPr>
          <w:p>
            <w:pPr>
              <w:spacing w:after="0"/>
              <w:rPr>
                <w:sz w:val="14"/>
                <w:szCs w:val="14"/>
                <w:color w:val="auto"/>
              </w:rPr>
            </w:pPr>
          </w:p>
        </w:tc>
        <w:tc>
          <w:tcPr>
            <w:tcW w:w="3400" w:type="dxa"/>
            <w:vAlign w:val="bottom"/>
            <w:tcBorders>
              <w:bottom w:val="single" w:sz="8" w:color="auto"/>
              <w:right w:val="single" w:sz="8" w:color="auto"/>
            </w:tcBorders>
            <w:shd w:val="clear" w:color="auto" w:fill="CCEEFF"/>
          </w:tcPr>
          <w:p>
            <w:pPr>
              <w:jc w:val="center"/>
              <w:ind w:right="2009"/>
              <w:spacing w:after="0"/>
              <w:rPr>
                <w:sz w:val="20"/>
                <w:szCs w:val="20"/>
                <w:color w:val="auto"/>
              </w:rPr>
            </w:pPr>
            <w:r>
              <w:rPr>
                <w:rFonts w:ascii="Times New Roman" w:cs="Times New Roman" w:eastAsia="Times New Roman" w:hAnsi="Times New Roman"/>
                <w:sz w:val="14"/>
                <w:szCs w:val="14"/>
                <w:color w:val="auto"/>
              </w:rPr>
              <w:t>25th percentile</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33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Below Threshold</w:t>
            </w:r>
          </w:p>
        </w:tc>
        <w:tc>
          <w:tcPr>
            <w:tcW w:w="1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jc w:val="center"/>
              <w:ind w:right="2009"/>
              <w:spacing w:after="0"/>
              <w:rPr>
                <w:sz w:val="20"/>
                <w:szCs w:val="20"/>
                <w:color w:val="auto"/>
              </w:rPr>
            </w:pPr>
            <w:r>
              <w:rPr>
                <w:rFonts w:ascii="Times New Roman" w:cs="Times New Roman" w:eastAsia="Times New Roman" w:hAnsi="Times New Roman"/>
                <w:sz w:val="14"/>
                <w:szCs w:val="14"/>
                <w:color w:val="auto"/>
              </w:rPr>
              <w:t>Below 25th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38" w:lineRule="exact"/>
        <w:rPr>
          <w:sz w:val="20"/>
          <w:szCs w:val="20"/>
          <w:color w:val="auto"/>
        </w:rPr>
      </w:pPr>
    </w:p>
    <w:p>
      <w:pPr>
        <w:jc w:val="both"/>
        <w:ind w:right="20" w:firstLine="318"/>
        <w:spacing w:after="0" w:line="188" w:lineRule="exact"/>
        <w:rPr>
          <w:sz w:val="20"/>
          <w:szCs w:val="20"/>
          <w:color w:val="auto"/>
        </w:rPr>
      </w:pPr>
      <w:r>
        <w:rPr>
          <w:rFonts w:ascii="Times New Roman" w:cs="Times New Roman" w:eastAsia="Times New Roman" w:hAnsi="Times New Roman"/>
          <w:sz w:val="14"/>
          <w:szCs w:val="14"/>
          <w:color w:val="auto"/>
        </w:rPr>
        <w:t>Each RSU represents the right to receive one share of Clearway, Inc.’s Class C common stock after the completion of the vesting period. The RSUs granted to the NEOs in 2025 vest ratably, meaning that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third of the award vests each year on the anniversary of the grant date, over a three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period.</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29"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color w:val="auto"/>
        </w:rPr>
        <w:t>Dividend Equivalent Rights (DERs)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connection with awards of both PSUs and RSUs, each NEO also receives DERs, which accrue with respect to the award to which they relate. Accrued DERs are credited as additional shares that will be subject to the vesting and payment terms of the corresponding award of PSUs or RSUs, as applicable. Accordingly, accrued DERs are paid at the same time the shares of Class C common stock underlying each award are delivered to the NEO, and accrued DERs are forfeited if, or to the extent that, the underlying award is forfeited.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Clawbacks</w:t>
      </w:r>
    </w:p>
    <w:p>
      <w:pPr>
        <w:spacing w:after="0" w:line="138" w:lineRule="exact"/>
        <w:rPr>
          <w:sz w:val="20"/>
          <w:szCs w:val="20"/>
          <w:color w:val="auto"/>
        </w:rPr>
      </w:pPr>
    </w:p>
    <w:p>
      <w:pPr>
        <w:jc w:val="both"/>
        <w:ind w:firstLine="318"/>
        <w:spacing w:after="0" w:line="175" w:lineRule="exact"/>
        <w:rPr>
          <w:sz w:val="20"/>
          <w:szCs w:val="20"/>
          <w:color w:val="auto"/>
        </w:rPr>
      </w:pPr>
      <w:r>
        <w:rPr>
          <w:rFonts w:ascii="Times New Roman" w:cs="Times New Roman" w:eastAsia="Times New Roman" w:hAnsi="Times New Roman"/>
          <w:sz w:val="14"/>
          <w:szCs w:val="14"/>
          <w:color w:val="auto"/>
        </w:rPr>
        <w:t>In 2023, the Compensation Committee adopted a “clawback” policy that is intended to comply with the requirements under the federal securities laws, including the Dodd-Frank Wall Street Reform and Consumer Protection Act of 2010 (the “Dodd-Frank Act”). A copy of the clawback policy has been filed as Exhibit 97 to this Annual Report on Form 10-K. In addition to the above “Dodd-Frank” clawback policy, the Company has long maintained a separate clawback policy that the Compensation Committee may apply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this separate policy. Each of the above policies is incremental to other remedies that are available to the Company. In addition to the above policies, if the Company is required to restate its earnings as a result of noncompliance with a financial reporting requirement due to misconduct, under the Sarbanes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Oxley Act of 2002 (“SOX”), the CEO and the CFO would also be subject to a “clawback,” as required by SOX.</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Benefits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All of our NEOs, as employees of CEG, are eligible to participate in the same CEG retirement, life insurance, health and welfare plans offered to other CEG employees pursuant to the terms of such CEG benefit plans (and for Mr. Cornelius, as further specified pursuant to his employment agreement). To generally support more complicated financial planning and estate planning matters, NEOs are eligible for reimbursement of annual tax return preparation, tax advice, financial planning and estate planning expenses, and CEG is responsible for making these reimbursement payments for the NEOs (and for Mr. Cornelius, as further specified pursuant to his employment agreement). During 2025, Mr. Cornelius was eligible for a maximum reimbursement of $12,000 per year and the remaining Other NEOs were each eligible for a maximum reimbursement of $3,000 per year.</w:t>
      </w:r>
    </w:p>
    <w:p>
      <w:pPr>
        <w:spacing w:after="0" w:line="7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Potential Severance and Change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In</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-36195</wp:posOffset>
            </wp:positionV>
            <wp:extent cx="55880" cy="36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-36195</wp:posOffset>
            </wp:positionV>
            <wp:extent cx="55880" cy="36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4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Each NEO’s PSU and RSU award agreements under the LTIP provide for certain treatment in the event of such NEO’s termination of employment under certain circumstances, including in connection with a change-in-control. Additionally, Mr. Cornelius, pursuant to his employment agreement (as described below), and the remaining Other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 The CIC Plan remains in effect for the Other NEOs, notwithstanding the transfer of their employment to CEG in 2025.</w:t>
      </w:r>
    </w:p>
    <w:p>
      <w:pPr>
        <w:spacing w:after="0" w:line="10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believe change-in-control arrangements are considered a market practice among many publicly held companies. Most often, these arrangements are utilized to encourage executives to remain in the service of the relevant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often include restrictive covenants, such as non-compete, non-solicitation and confidentiality provisions that further protect the interests of the Company.</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a more detailed discussion, including the quantification of potential payments, please see the section entitled “Severance and Change-in-Control” following the executive compensation tables below.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i w:val="1"/>
          <w:iCs w:val="1"/>
          <w:color w:val="auto"/>
        </w:rPr>
        <w:t>Other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Ownership Guidelines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Compensation Committee and the Board require the CEO to hold Company stock with a value equal to 5.0 times his base salary until his separation from the Company. Executive Vice</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Presidents are required to hold Company stock with a value equal to 3.0 times their base salary until their separation from the Company. Senior Vice Presidents are required to hold Company stock with a value equal to 2.0 times their base salary until their separation from the Company. Personal holdings, vested awards and unvested RSUs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February 20, 2026 is shown below. Each NEO met or exceeded his or her stock ownership guidelines as of February 20, 2026.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Target Ownership</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jc w:val="right"/>
              <w:ind w:right="695"/>
              <w:spacing w:after="0"/>
              <w:rPr>
                <w:sz w:val="20"/>
                <w:szCs w:val="20"/>
                <w:color w:val="auto"/>
              </w:rPr>
            </w:pPr>
            <w:r>
              <w:rPr>
                <w:rFonts w:ascii="Times New Roman" w:cs="Times New Roman" w:eastAsia="Times New Roman" w:hAnsi="Times New Roman"/>
                <w:sz w:val="11"/>
                <w:szCs w:val="11"/>
                <w:b w:val="1"/>
                <w:bCs w:val="1"/>
                <w:color w:val="auto"/>
              </w:rPr>
              <w:t>Actual Ownership</w:t>
            </w:r>
          </w:p>
        </w:tc>
        <w:tc>
          <w:tcPr>
            <w:tcW w:w="0" w:type="dxa"/>
            <w:vAlign w:val="bottom"/>
          </w:tcPr>
          <w:p>
            <w:pPr>
              <w:spacing w:after="0"/>
              <w:rPr>
                <w:sz w:val="1"/>
                <w:szCs w:val="1"/>
                <w:color w:val="auto"/>
              </w:rPr>
            </w:pPr>
          </w:p>
        </w:tc>
      </w:tr>
      <w:tr>
        <w:trPr>
          <w:trHeight w:val="16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920" w:type="dxa"/>
            <w:vAlign w:val="bottom"/>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w w:val="99"/>
              </w:rPr>
              <w:t>Multiple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jc w:val="right"/>
              <w:ind w:right="935"/>
              <w:spacing w:after="0"/>
              <w:rPr>
                <w:sz w:val="20"/>
                <w:szCs w:val="20"/>
                <w:color w:val="auto"/>
              </w:rPr>
            </w:pPr>
            <w:r>
              <w:rPr>
                <w:rFonts w:ascii="Times New Roman" w:cs="Times New Roman" w:eastAsia="Times New Roman" w:hAnsi="Times New Roman"/>
                <w:sz w:val="11"/>
                <w:szCs w:val="11"/>
                <w:b w:val="1"/>
                <w:bCs w:val="1"/>
                <w:color w:val="auto"/>
              </w:rPr>
              <w:t>Multiple</w:t>
            </w:r>
          </w:p>
        </w:tc>
        <w:tc>
          <w:tcPr>
            <w:tcW w:w="0" w:type="dxa"/>
            <w:vAlign w:val="bottom"/>
          </w:tcPr>
          <w:p>
            <w:pPr>
              <w:spacing w:after="0"/>
              <w:rPr>
                <w:sz w:val="1"/>
                <w:szCs w:val="1"/>
                <w:color w:val="auto"/>
              </w:rPr>
            </w:pPr>
          </w:p>
        </w:tc>
      </w:tr>
      <w:tr>
        <w:trPr>
          <w:trHeight w:val="180"/>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Craig Cornelius</w:t>
            </w:r>
          </w:p>
        </w:tc>
        <w:tc>
          <w:tcPr>
            <w:tcW w:w="8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7"/>
              </w:rPr>
              <w:t>5.0x</w:t>
            </w:r>
          </w:p>
        </w:tc>
        <w:tc>
          <w:tcPr>
            <w:tcW w:w="10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24.6x</w:t>
            </w:r>
          </w:p>
        </w:tc>
        <w:tc>
          <w:tcPr>
            <w:tcW w:w="0" w:type="dxa"/>
            <w:vAlign w:val="bottom"/>
          </w:tcPr>
          <w:p>
            <w:pPr>
              <w:spacing w:after="0"/>
              <w:rPr>
                <w:sz w:val="1"/>
                <w:szCs w:val="1"/>
                <w:color w:val="auto"/>
              </w:rPr>
            </w:pPr>
          </w:p>
        </w:tc>
      </w:tr>
      <w:tr>
        <w:trPr>
          <w:trHeight w:val="184"/>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Sarah Rubenstein</w:t>
            </w:r>
          </w:p>
        </w:tc>
        <w:tc>
          <w:tcPr>
            <w:tcW w:w="1920" w:type="dxa"/>
            <w:vAlign w:val="bottom"/>
          </w:tcPr>
          <w:p>
            <w:pPr>
              <w:spacing w:after="0"/>
              <w:rPr>
                <w:sz w:val="16"/>
                <w:szCs w:val="16"/>
                <w:color w:val="auto"/>
              </w:rPr>
            </w:pPr>
          </w:p>
        </w:tc>
        <w:tc>
          <w:tcPr>
            <w:tcW w:w="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3.0x</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5.8x</w:t>
            </w:r>
          </w:p>
        </w:tc>
        <w:tc>
          <w:tcPr>
            <w:tcW w:w="0" w:type="dxa"/>
            <w:vAlign w:val="bottom"/>
          </w:tcPr>
          <w:p>
            <w:pPr>
              <w:spacing w:after="0"/>
              <w:rPr>
                <w:sz w:val="1"/>
                <w:szCs w:val="1"/>
                <w:color w:val="auto"/>
              </w:rPr>
            </w:pPr>
          </w:p>
        </w:tc>
      </w:tr>
      <w:tr>
        <w:trPr>
          <w:trHeight w:val="123"/>
        </w:trPr>
        <w:tc>
          <w:tcPr>
            <w:tcW w:w="634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Kevin P. Malcarney</w:t>
            </w:r>
          </w:p>
        </w:tc>
        <w:tc>
          <w:tcPr>
            <w:tcW w:w="192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3.0x</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12.4x</w:t>
            </w:r>
          </w:p>
        </w:tc>
        <w:tc>
          <w:tcPr>
            <w:tcW w:w="0" w:type="dxa"/>
            <w:vAlign w:val="bottom"/>
          </w:tcPr>
          <w:p>
            <w:pPr>
              <w:spacing w:after="0"/>
              <w:rPr>
                <w:sz w:val="1"/>
                <w:szCs w:val="1"/>
                <w:color w:val="auto"/>
              </w:rPr>
            </w:pPr>
          </w:p>
        </w:tc>
      </w:tr>
      <w:tr>
        <w:trPr>
          <w:trHeight w:val="124"/>
        </w:trPr>
        <w:tc>
          <w:tcPr>
            <w:tcW w:w="6340" w:type="dxa"/>
            <w:vAlign w:val="bottom"/>
            <w:gridSpan w:val="2"/>
            <w:vMerge w:val="continue"/>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and Accounting Considerations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Section 162(m) of the Internal Revenue Code (the “Code”) precludes Clearway, Inc., as a public company, from taking a tax deduction for individual compensation to certain of our executive officers in excess of $1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03" w:lineRule="exact"/>
        <w:rPr>
          <w:sz w:val="20"/>
          <w:szCs w:val="20"/>
          <w:color w:val="auto"/>
        </w:rPr>
      </w:pPr>
    </w:p>
    <w:p>
      <w:pPr>
        <w:jc w:val="both"/>
        <w:ind w:firstLine="318"/>
        <w:spacing w:after="0" w:line="182" w:lineRule="exact"/>
        <w:rPr>
          <w:sz w:val="20"/>
          <w:szCs w:val="20"/>
          <w:color w:val="auto"/>
        </w:rPr>
      </w:pPr>
      <w:r>
        <w:rPr>
          <w:rFonts w:ascii="Times New Roman" w:cs="Times New Roman" w:eastAsia="Times New Roman" w:hAnsi="Times New Roman"/>
          <w:sz w:val="14"/>
          <w:szCs w:val="14"/>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goals.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Tables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Change in</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Pension</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Value and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1"/>
                <w:szCs w:val="11"/>
                <w:b w:val="1"/>
                <w:bCs w:val="1"/>
                <w:color w:val="auto"/>
              </w:rPr>
              <w:t>Non</w:t>
            </w:r>
            <w:r>
              <w:rPr>
                <w:rFonts w:ascii="MS PGothic" w:cs="MS PGothic" w:eastAsia="MS PGothic" w:hAnsi="MS PGothic"/>
                <w:sz w:val="11"/>
                <w:szCs w:val="11"/>
                <w:color w:val="auto"/>
                <w:strike w:val="1"/>
              </w:rPr>
              <w:t>‑</w:t>
            </w:r>
            <w:r>
              <w:rPr>
                <w:rFonts w:ascii="Times New Roman" w:cs="Times New Roman" w:eastAsia="Times New Roman" w:hAnsi="Times New Roman"/>
                <w:sz w:val="11"/>
                <w:szCs w:val="11"/>
                <w:b w:val="1"/>
                <w:bCs w:val="1"/>
                <w:color w:val="auto"/>
              </w:rPr>
              <w:t>Equity</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Nonqualified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Deferred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Incentive Plan</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Bonus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Awards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102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80"/>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940" w:type="dxa"/>
            <w:vAlign w:val="bottom"/>
            <w:tcBorders>
              <w:bottom w:val="single" w:sz="8" w:color="CCEEFF"/>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Year</w:t>
            </w:r>
          </w:p>
        </w:tc>
        <w:tc>
          <w:tcPr>
            <w:tcW w:w="7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4"/>
                <w:szCs w:val="14"/>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(2)</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(3)</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(4)</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18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1"/>
                <w:szCs w:val="11"/>
                <w:b w:val="1"/>
                <w:bCs w:val="1"/>
                <w:color w:val="auto"/>
              </w:rPr>
              <w:t>Craig Cornelius</w:t>
            </w:r>
            <w:r>
              <w:rPr>
                <w:rFonts w:ascii="Times New Roman" w:cs="Times New Roman" w:eastAsia="Times New Roman" w:hAnsi="Times New Roman"/>
                <w:sz w:val="14"/>
                <w:szCs w:val="14"/>
                <w:b w:val="1"/>
                <w:bCs w:val="1"/>
                <w:color w:val="auto"/>
                <w:vertAlign w:val="superscript"/>
              </w:rPr>
              <w:t>(5)</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2,750,014</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2,750,014</w:t>
            </w:r>
          </w:p>
        </w:tc>
        <w:tc>
          <w:tcPr>
            <w:tcW w:w="0" w:type="dxa"/>
            <w:vAlign w:val="bottom"/>
          </w:tcPr>
          <w:p>
            <w:pPr>
              <w:spacing w:after="0"/>
              <w:rPr>
                <w:sz w:val="1"/>
                <w:szCs w:val="1"/>
                <w:color w:val="auto"/>
              </w:rPr>
            </w:pPr>
          </w:p>
        </w:tc>
      </w:tr>
      <w:tr>
        <w:trPr>
          <w:trHeight w:val="154"/>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President and</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2,851,921</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2,851,921</w:t>
            </w:r>
          </w:p>
        </w:tc>
        <w:tc>
          <w:tcPr>
            <w:tcW w:w="0" w:type="dxa"/>
            <w:vAlign w:val="bottom"/>
          </w:tcPr>
          <w:p>
            <w:pPr>
              <w:spacing w:after="0"/>
              <w:rPr>
                <w:sz w:val="1"/>
                <w:szCs w:val="1"/>
                <w:color w:val="auto"/>
              </w:rPr>
            </w:pPr>
          </w:p>
        </w:tc>
      </w:tr>
      <w:tr>
        <w:trPr>
          <w:trHeight w:val="16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Executive Officer</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1800" w:type="dxa"/>
            <w:vAlign w:val="bottom"/>
            <w:tcBorders>
              <w:bottom w:val="single" w:sz="8" w:color="CCEEFF"/>
            </w:tcBorders>
          </w:tcPr>
          <w:p>
            <w:pPr>
              <w:spacing w:after="0"/>
              <w:rPr>
                <w:sz w:val="7"/>
                <w:szCs w:val="7"/>
                <w:color w:val="auto"/>
              </w:rPr>
            </w:pPr>
          </w:p>
        </w:tc>
        <w:tc>
          <w:tcPr>
            <w:tcW w:w="94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Sarah Rubenstein</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433,990</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744,529</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348,281</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22,043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1,548,843</w:t>
            </w:r>
          </w:p>
        </w:tc>
        <w:tc>
          <w:tcPr>
            <w:tcW w:w="0" w:type="dxa"/>
            <w:vAlign w:val="bottom"/>
          </w:tcPr>
          <w:p>
            <w:pPr>
              <w:spacing w:after="0"/>
              <w:rPr>
                <w:sz w:val="1"/>
                <w:szCs w:val="1"/>
                <w:color w:val="auto"/>
              </w:rPr>
            </w:pPr>
          </w:p>
        </w:tc>
      </w:tr>
      <w:tr>
        <w:trPr>
          <w:trHeight w:val="154"/>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Executive Vice President and</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418,846</w:t>
            </w:r>
          </w:p>
        </w:tc>
        <w:tc>
          <w:tcPr>
            <w:tcW w:w="10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470,513</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508,300</w:t>
            </w:r>
          </w:p>
        </w:tc>
        <w:tc>
          <w:tcPr>
            <w:tcW w:w="100" w:type="dxa"/>
            <w:vAlign w:val="bottom"/>
          </w:tcPr>
          <w:p>
            <w:pPr>
              <w:spacing w:after="0"/>
              <w:rPr>
                <w:sz w:val="13"/>
                <w:szCs w:val="13"/>
                <w:color w:val="auto"/>
              </w:rPr>
            </w:pP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1,411,459</w:t>
            </w:r>
          </w:p>
        </w:tc>
        <w:tc>
          <w:tcPr>
            <w:tcW w:w="0" w:type="dxa"/>
            <w:vAlign w:val="bottom"/>
          </w:tcPr>
          <w:p>
            <w:pPr>
              <w:spacing w:after="0"/>
              <w:rPr>
                <w:sz w:val="1"/>
                <w:szCs w:val="1"/>
                <w:color w:val="auto"/>
              </w:rPr>
            </w:pPr>
          </w:p>
        </w:tc>
      </w:tr>
      <w:tr>
        <w:trPr>
          <w:trHeight w:val="16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Accounting Officer</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369,365</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464,062</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200,200</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1,046,827</w:t>
            </w:r>
          </w:p>
        </w:tc>
        <w:tc>
          <w:tcPr>
            <w:tcW w:w="0" w:type="dxa"/>
            <w:vAlign w:val="bottom"/>
          </w:tcPr>
          <w:p>
            <w:pPr>
              <w:spacing w:after="0"/>
              <w:rPr>
                <w:sz w:val="1"/>
                <w:szCs w:val="1"/>
                <w:color w:val="auto"/>
              </w:rPr>
            </w:pPr>
          </w:p>
        </w:tc>
      </w:tr>
      <w:tr>
        <w:trPr>
          <w:trHeight w:val="85"/>
        </w:trPr>
        <w:tc>
          <w:tcPr>
            <w:tcW w:w="1800" w:type="dxa"/>
            <w:vAlign w:val="bottom"/>
            <w:tcBorders>
              <w:bottom w:val="single" w:sz="8" w:color="CCEEFF"/>
            </w:tcBorders>
          </w:tcPr>
          <w:p>
            <w:pPr>
              <w:spacing w:after="0"/>
              <w:rPr>
                <w:sz w:val="7"/>
                <w:szCs w:val="7"/>
                <w:color w:val="auto"/>
              </w:rPr>
            </w:pPr>
          </w:p>
        </w:tc>
        <w:tc>
          <w:tcPr>
            <w:tcW w:w="94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Kevin P. Malcarney</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430,573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543,631</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347,708</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25,698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1,347,610</w:t>
            </w:r>
          </w:p>
        </w:tc>
        <w:tc>
          <w:tcPr>
            <w:tcW w:w="0" w:type="dxa"/>
            <w:vAlign w:val="bottom"/>
          </w:tcPr>
          <w:p>
            <w:pPr>
              <w:spacing w:after="0"/>
              <w:rPr>
                <w:sz w:val="1"/>
                <w:szCs w:val="1"/>
                <w:color w:val="auto"/>
              </w:rPr>
            </w:pPr>
          </w:p>
        </w:tc>
      </w:tr>
      <w:tr>
        <w:trPr>
          <w:trHeight w:val="154"/>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Executive Vice President,</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425,945</w:t>
            </w:r>
          </w:p>
        </w:tc>
        <w:tc>
          <w:tcPr>
            <w:tcW w:w="10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474,339</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512,462</w:t>
            </w:r>
          </w:p>
        </w:tc>
        <w:tc>
          <w:tcPr>
            <w:tcW w:w="100" w:type="dxa"/>
            <w:vAlign w:val="bottom"/>
          </w:tcPr>
          <w:p>
            <w:pPr>
              <w:spacing w:after="0"/>
              <w:rPr>
                <w:sz w:val="13"/>
                <w:szCs w:val="13"/>
                <w:color w:val="auto"/>
              </w:rPr>
            </w:pP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16,800</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1,429,546</w:t>
            </w:r>
          </w:p>
        </w:tc>
        <w:tc>
          <w:tcPr>
            <w:tcW w:w="0" w:type="dxa"/>
            <w:vAlign w:val="bottom"/>
          </w:tcPr>
          <w:p>
            <w:pPr>
              <w:spacing w:after="0"/>
              <w:rPr>
                <w:sz w:val="1"/>
                <w:szCs w:val="1"/>
                <w:color w:val="auto"/>
              </w:rPr>
            </w:pPr>
          </w:p>
        </w:tc>
      </w:tr>
      <w:tr>
        <w:trPr>
          <w:trHeight w:val="16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General Counsel and</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410,154</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496,605</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214,240</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1,137,199</w:t>
            </w:r>
          </w:p>
        </w:tc>
        <w:tc>
          <w:tcPr>
            <w:tcW w:w="0" w:type="dxa"/>
            <w:vAlign w:val="bottom"/>
          </w:tcPr>
          <w:p>
            <w:pPr>
              <w:spacing w:after="0"/>
              <w:rPr>
                <w:sz w:val="1"/>
                <w:szCs w:val="1"/>
                <w:color w:val="auto"/>
              </w:rPr>
            </w:pPr>
          </w:p>
        </w:tc>
      </w:tr>
      <w:tr>
        <w:trPr>
          <w:trHeight w:val="147"/>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 Secretary</w:t>
            </w: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138811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7" w:lineRule="exact"/>
        <w:rPr>
          <w:sz w:val="20"/>
          <w:szCs w:val="20"/>
          <w:color w:val="auto"/>
        </w:rPr>
      </w:pPr>
    </w:p>
    <w:p>
      <w:pPr>
        <w:ind w:left="180" w:hanging="111"/>
        <w:spacing w:after="0"/>
        <w:tabs>
          <w:tab w:leader="none" w:pos="180" w:val="left"/>
        </w:tabs>
        <w:numPr>
          <w:ilvl w:val="0"/>
          <w:numId w:val="4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Reflects base salary earnings.</w:t>
      </w:r>
    </w:p>
    <w:p>
      <w:pPr>
        <w:spacing w:after="0" w:line="43" w:lineRule="exact"/>
        <w:rPr>
          <w:rFonts w:ascii="Times New Roman" w:cs="Times New Roman" w:eastAsia="Times New Roman" w:hAnsi="Times New Roman"/>
          <w:sz w:val="7"/>
          <w:szCs w:val="7"/>
          <w:color w:val="auto"/>
        </w:rPr>
      </w:pPr>
    </w:p>
    <w:p>
      <w:pPr>
        <w:jc w:val="both"/>
        <w:ind w:left="60" w:firstLine="9"/>
        <w:spacing w:after="0" w:line="275" w:lineRule="auto"/>
        <w:tabs>
          <w:tab w:leader="none" w:pos="174" w:val="left"/>
        </w:tabs>
        <w:numPr>
          <w:ilvl w:val="0"/>
          <w:numId w:val="40"/>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Reflects the grant date fair value determined in accordance with the Financial Accounting Standards Board Accounting Standards Codification Topic 718, Comparison — Stock Compensation. The Company uses the price of Clearway, Inc.’s Class C common stock on the date of grant as the fair value of the Company’s RSUs and CPSUs (and in the case of the CPSUs based on the probable outcome at the date of grant, which was assumed to be target). The fair value of the TPSUs is estimated on the date of grant using a Monte Carlo simulation model. The number of PSUs granted is based on the 10-day average closing price of Clearway, Inc.’s Class C common stock ending on the date of grant, which is intended to more closely reflect the compensation practices of the Compensation Peer Group companies. For PSUs granted in 2025, if the maximum level of performance is achieved, the fair value will be approximately $3,217,514 for Mr. Cornelius, $635,278 for Ms. Rubenstein and $634,268 for Mr. Malcarney.</w:t>
      </w:r>
    </w:p>
    <w:p>
      <w:pPr>
        <w:spacing w:after="0" w:line="121" w:lineRule="exact"/>
        <w:rPr>
          <w:rFonts w:ascii="Times New Roman" w:cs="Times New Roman" w:eastAsia="Times New Roman" w:hAnsi="Times New Roman"/>
          <w:sz w:val="13"/>
          <w:szCs w:val="13"/>
          <w:color w:val="auto"/>
          <w:vertAlign w:val="superscript"/>
        </w:rPr>
      </w:pPr>
    </w:p>
    <w:p>
      <w:pPr>
        <w:ind w:left="180" w:hanging="111"/>
        <w:spacing w:after="0" w:line="205" w:lineRule="auto"/>
        <w:tabs>
          <w:tab w:leader="none" w:pos="180" w:val="left"/>
        </w:tabs>
        <w:numPr>
          <w:ilvl w:val="0"/>
          <w:numId w:val="4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amounts shown in this column represent the annual incentive bonuses paid to the NEOs. Further information regarding the annual incentive bonuses is included in the “2025 Annual Incentive Bonuses” section of this CD&amp;A.</w:t>
      </w:r>
    </w:p>
    <w:p>
      <w:pPr>
        <w:spacing w:after="0" w:line="24" w:lineRule="exact"/>
        <w:rPr>
          <w:rFonts w:ascii="Times New Roman" w:cs="Times New Roman" w:eastAsia="Times New Roman" w:hAnsi="Times New Roman"/>
          <w:sz w:val="14"/>
          <w:szCs w:val="14"/>
          <w:color w:val="auto"/>
          <w:vertAlign w:val="superscript"/>
        </w:rPr>
      </w:pPr>
    </w:p>
    <w:p>
      <w:pPr>
        <w:ind w:left="60" w:firstLine="9"/>
        <w:spacing w:after="0" w:line="257" w:lineRule="auto"/>
        <w:tabs>
          <w:tab w:leader="none" w:pos="174" w:val="left"/>
        </w:tabs>
        <w:numPr>
          <w:ilvl w:val="0"/>
          <w:numId w:val="40"/>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The amounts provided in the All Other Compensation column represent the additional benefits payable to the Other NEOs and include financial advisor fees and the employer match under the 401(k) plan. The following table identifies the additional compensation for each NEO.</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127"/>
        </w:trPr>
        <w:tc>
          <w:tcPr>
            <w:tcW w:w="2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401(k)</w:t>
            </w:r>
          </w:p>
        </w:tc>
        <w:tc>
          <w:tcPr>
            <w:tcW w:w="1040" w:type="dxa"/>
            <w:vAlign w:val="bottom"/>
          </w:tcPr>
          <w:p>
            <w:pPr>
              <w:spacing w:after="0"/>
              <w:rPr>
                <w:sz w:val="11"/>
                <w:szCs w:val="11"/>
                <w:color w:val="auto"/>
              </w:rPr>
            </w:pPr>
          </w:p>
        </w:tc>
      </w:tr>
      <w:tr>
        <w:trPr>
          <w:trHeight w:val="127"/>
        </w:trPr>
        <w:tc>
          <w:tcPr>
            <w:tcW w:w="2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Financial</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Employer</w:t>
            </w:r>
          </w:p>
        </w:tc>
        <w:tc>
          <w:tcPr>
            <w:tcW w:w="1040" w:type="dxa"/>
            <w:vAlign w:val="bottom"/>
          </w:tcPr>
          <w:p>
            <w:pPr>
              <w:spacing w:after="0"/>
              <w:rPr>
                <w:sz w:val="11"/>
                <w:szCs w:val="11"/>
                <w:color w:val="auto"/>
              </w:rPr>
            </w:pPr>
          </w:p>
        </w:tc>
      </w:tr>
      <w:tr>
        <w:trPr>
          <w:trHeight w:val="127"/>
        </w:trPr>
        <w:tc>
          <w:tcPr>
            <w:tcW w:w="2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Advisor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Matching</w:t>
            </w:r>
          </w:p>
        </w:tc>
        <w:tc>
          <w:tcPr>
            <w:tcW w:w="1040" w:type="dxa"/>
            <w:vAlign w:val="bottom"/>
          </w:tcPr>
          <w:p>
            <w:pPr>
              <w:spacing w:after="0"/>
              <w:rPr>
                <w:sz w:val="11"/>
                <w:szCs w:val="11"/>
                <w:color w:val="auto"/>
              </w:rPr>
            </w:pPr>
          </w:p>
        </w:tc>
      </w:tr>
      <w:tr>
        <w:trPr>
          <w:trHeight w:val="127"/>
        </w:trPr>
        <w:tc>
          <w:tcPr>
            <w:tcW w:w="2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Services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Contribution</w:t>
            </w:r>
          </w:p>
        </w:tc>
        <w:tc>
          <w:tcPr>
            <w:tcW w:w="104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9"/>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620" w:type="dxa"/>
            <w:vAlign w:val="bottom"/>
            <w:tcBorders>
              <w:bottom w:val="single" w:sz="8" w:color="CCEEFF"/>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Year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Craig Cornelius </w:t>
            </w:r>
            <w:r>
              <w:rPr>
                <w:rFonts w:ascii="Times New Roman" w:cs="Times New Roman" w:eastAsia="Times New Roman" w:hAnsi="Times New Roman"/>
                <w:sz w:val="7"/>
                <w:szCs w:val="7"/>
                <w:b w:val="1"/>
                <w:bCs w:val="1"/>
                <w:color w:val="auto"/>
              </w:rPr>
              <w:t>(5)</w:t>
            </w:r>
          </w:p>
        </w:tc>
        <w:tc>
          <w:tcPr>
            <w:tcW w:w="1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2025</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040" w:type="dxa"/>
            <w:vAlign w:val="bottom"/>
          </w:tcPr>
          <w:p>
            <w:pPr>
              <w:spacing w:after="0"/>
              <w:rPr>
                <w:sz w:val="13"/>
                <w:szCs w:val="13"/>
                <w:color w:val="auto"/>
              </w:rPr>
            </w:pPr>
          </w:p>
        </w:tc>
        <w:tc>
          <w:tcPr>
            <w:tcW w:w="16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20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42"/>
        </w:trPr>
        <w:tc>
          <w:tcPr>
            <w:tcW w:w="204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5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Sarah Rubenstein</w:t>
            </w:r>
          </w:p>
        </w:tc>
        <w:tc>
          <w:tcPr>
            <w:tcW w:w="1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2025</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r>
      <w:tr>
        <w:trPr>
          <w:trHeight w:val="153"/>
        </w:trPr>
        <w:tc>
          <w:tcPr>
            <w:tcW w:w="2040" w:type="dxa"/>
            <w:vAlign w:val="bottom"/>
          </w:tcPr>
          <w:p>
            <w:pPr>
              <w:spacing w:after="0"/>
              <w:rPr>
                <w:sz w:val="13"/>
                <w:szCs w:val="13"/>
                <w:color w:val="auto"/>
              </w:rPr>
            </w:pPr>
          </w:p>
        </w:tc>
        <w:tc>
          <w:tcPr>
            <w:tcW w:w="16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13,800</w:t>
            </w:r>
          </w:p>
        </w:tc>
      </w:tr>
      <w:tr>
        <w:trPr>
          <w:trHeight w:val="165"/>
        </w:trPr>
        <w:tc>
          <w:tcPr>
            <w:tcW w:w="20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13,200</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13,200</w:t>
            </w:r>
          </w:p>
        </w:tc>
      </w:tr>
      <w:tr>
        <w:trPr>
          <w:trHeight w:val="42"/>
        </w:trPr>
        <w:tc>
          <w:tcPr>
            <w:tcW w:w="204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5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Kevin P. Malcarney</w:t>
            </w:r>
          </w:p>
        </w:tc>
        <w:tc>
          <w:tcPr>
            <w:tcW w:w="1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2025</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3,000</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w:t>
            </w:r>
          </w:p>
        </w:tc>
      </w:tr>
      <w:tr>
        <w:trPr>
          <w:trHeight w:val="153"/>
        </w:trPr>
        <w:tc>
          <w:tcPr>
            <w:tcW w:w="2040" w:type="dxa"/>
            <w:vAlign w:val="bottom"/>
          </w:tcPr>
          <w:p>
            <w:pPr>
              <w:spacing w:after="0"/>
              <w:rPr>
                <w:sz w:val="13"/>
                <w:szCs w:val="13"/>
                <w:color w:val="auto"/>
              </w:rPr>
            </w:pPr>
          </w:p>
        </w:tc>
        <w:tc>
          <w:tcPr>
            <w:tcW w:w="16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3,000</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16,800</w:t>
            </w:r>
          </w:p>
        </w:tc>
      </w:tr>
      <w:tr>
        <w:trPr>
          <w:trHeight w:val="165"/>
        </w:trPr>
        <w:tc>
          <w:tcPr>
            <w:tcW w:w="20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3,000</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13,200</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6" w:lineRule="exact"/>
        <w:rPr>
          <w:sz w:val="20"/>
          <w:szCs w:val="20"/>
          <w:color w:val="auto"/>
        </w:rPr>
      </w:pPr>
    </w:p>
    <w:p>
      <w:pPr>
        <w:ind w:left="60" w:right="80" w:firstLine="9"/>
        <w:spacing w:after="0" w:line="246" w:lineRule="auto"/>
        <w:tabs>
          <w:tab w:leader="none" w:pos="174" w:val="left"/>
        </w:tabs>
        <w:numPr>
          <w:ilvl w:val="0"/>
          <w:numId w:val="4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Disclosure with respect to Mr. Cornelius is limited to compensatory amounts that are payable by the Company, which are limited to his RSU and PSU grants under the LTIP. For a more detailed discussion of the compensatory amounts provided to Mr. Cornelius by CEG, please see the sections entitled “Base Salary,” Annual Incentive Compensation,” “Long-Term Incentive Compensation,” “Benefits,” and “Potential Severance and Change-In-Control Benefits” in the “Elements of Compensation”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7" w:name="page78"/>
    <w:bookmarkEnd w:id="77"/>
    <w:p>
      <w:pPr>
        <w:spacing w:after="0" w:line="161" w:lineRule="exact"/>
        <w:rPr>
          <w:sz w:val="20"/>
          <w:szCs w:val="20"/>
          <w:color w:val="auto"/>
        </w:rPr>
      </w:pPr>
      <w:r>
        <w:rPr>
          <w:rFonts w:ascii="Times New Roman" w:cs="Times New Roman" w:eastAsia="Times New Roman" w:hAnsi="Times New Roman"/>
          <w:sz w:val="14"/>
          <w:szCs w:val="14"/>
          <w:b w:val="1"/>
          <w:bCs w:val="1"/>
          <w:color w:val="auto"/>
        </w:rPr>
        <w:t>Grants of Plan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Based Awards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All Other</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Grant</w:t>
            </w:r>
          </w:p>
        </w:tc>
        <w:tc>
          <w:tcPr>
            <w:tcW w:w="0" w:type="dxa"/>
            <w:vAlign w:val="bottom"/>
          </w:tcPr>
          <w:p>
            <w:pPr>
              <w:spacing w:after="0"/>
              <w:rPr>
                <w:sz w:val="1"/>
                <w:szCs w:val="1"/>
                <w:color w:val="auto"/>
              </w:rPr>
            </w:pPr>
          </w:p>
        </w:tc>
      </w:tr>
      <w:tr>
        <w:trPr>
          <w:trHeight w:val="106"/>
        </w:trPr>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0"/>
                <w:szCs w:val="10"/>
                <w:b w:val="1"/>
                <w:bCs w:val="1"/>
                <w:color w:val="auto"/>
              </w:rPr>
              <w:t>Stock</w:t>
            </w:r>
          </w:p>
        </w:tc>
        <w:tc>
          <w:tcPr>
            <w:tcW w:w="84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4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Estimated Possible Payouts</w:t>
            </w: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100"/>
        </w:trPr>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jc w:val="center"/>
              <w:ind w:right="92"/>
              <w:spacing w:after="0" w:line="101" w:lineRule="exact"/>
              <w:rPr>
                <w:sz w:val="20"/>
                <w:szCs w:val="20"/>
                <w:color w:val="auto"/>
              </w:rPr>
            </w:pPr>
            <w:r>
              <w:rPr>
                <w:rFonts w:ascii="Times New Roman" w:cs="Times New Roman" w:eastAsia="Times New Roman" w:hAnsi="Times New Roman"/>
                <w:sz w:val="10"/>
                <w:szCs w:val="10"/>
                <w:b w:val="1"/>
                <w:bCs w:val="1"/>
                <w:color w:val="auto"/>
                <w:w w:val="95"/>
              </w:rPr>
              <w:t>Under</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gridSpan w:val="4"/>
          </w:tcPr>
          <w:p>
            <w:pPr>
              <w:jc w:val="center"/>
              <w:ind w:right="80"/>
              <w:spacing w:after="0" w:line="101" w:lineRule="exact"/>
              <w:rPr>
                <w:sz w:val="20"/>
                <w:szCs w:val="20"/>
                <w:color w:val="auto"/>
              </w:rPr>
            </w:pPr>
            <w:r>
              <w:rPr>
                <w:rFonts w:ascii="Times New Roman" w:cs="Times New Roman" w:eastAsia="Times New Roman" w:hAnsi="Times New Roman"/>
                <w:sz w:val="10"/>
                <w:szCs w:val="10"/>
                <w:b w:val="1"/>
                <w:bCs w:val="1"/>
                <w:color w:val="auto"/>
                <w:w w:val="98"/>
              </w:rPr>
              <w:t>Estimated Future Payouts</w:t>
            </w:r>
          </w:p>
        </w:tc>
        <w:tc>
          <w:tcPr>
            <w:tcW w:w="1000" w:type="dxa"/>
            <w:vAlign w:val="bottom"/>
            <w:gridSpan w:val="2"/>
          </w:tcPr>
          <w:p>
            <w:pPr>
              <w:jc w:val="center"/>
              <w:ind w:right="80"/>
              <w:spacing w:after="0" w:line="101" w:lineRule="exact"/>
              <w:rPr>
                <w:sz w:val="20"/>
                <w:szCs w:val="20"/>
                <w:color w:val="auto"/>
              </w:rPr>
            </w:pPr>
            <w:r>
              <w:rPr>
                <w:rFonts w:ascii="Times New Roman" w:cs="Times New Roman" w:eastAsia="Times New Roman" w:hAnsi="Times New Roman"/>
                <w:sz w:val="10"/>
                <w:szCs w:val="10"/>
                <w:b w:val="1"/>
                <w:bCs w:val="1"/>
                <w:color w:val="auto"/>
              </w:rPr>
              <w:t>Number</w:t>
            </w:r>
          </w:p>
        </w:tc>
        <w:tc>
          <w:tcPr>
            <w:tcW w:w="84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7"/>
              </w:rPr>
              <w:t>of Stock</w:t>
            </w:r>
          </w:p>
        </w:tc>
        <w:tc>
          <w:tcPr>
            <w:tcW w:w="0" w:type="dxa"/>
            <w:vAlign w:val="bottom"/>
          </w:tcPr>
          <w:p>
            <w:pPr>
              <w:spacing w:after="0"/>
              <w:rPr>
                <w:sz w:val="1"/>
                <w:szCs w:val="1"/>
                <w:color w:val="auto"/>
              </w:rPr>
            </w:pPr>
          </w:p>
        </w:tc>
      </w:tr>
      <w:tr>
        <w:trPr>
          <w:trHeight w:val="123"/>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0" w:type="dxa"/>
            <w:vAlign w:val="bottom"/>
            <w:gridSpan w:val="2"/>
          </w:tcPr>
          <w:p>
            <w:pPr>
              <w:jc w:val="center"/>
              <w:ind w:left="612"/>
              <w:spacing w:after="0" w:line="115" w:lineRule="exact"/>
              <w:rPr>
                <w:sz w:val="20"/>
                <w:szCs w:val="20"/>
                <w:color w:val="auto"/>
              </w:rPr>
            </w:pPr>
            <w:r>
              <w:rPr>
                <w:rFonts w:ascii="Times New Roman" w:cs="Times New Roman" w:eastAsia="Times New Roman" w:hAnsi="Times New Roman"/>
                <w:sz w:val="10"/>
                <w:szCs w:val="10"/>
                <w:b w:val="1"/>
                <w:bCs w:val="1"/>
                <w:color w:val="auto"/>
                <w:w w:val="98"/>
              </w:rPr>
              <w:t>Non</w:t>
            </w:r>
            <w:r>
              <w:rPr>
                <w:rFonts w:ascii="MS PGothic" w:cs="MS PGothic" w:eastAsia="MS PGothic" w:hAnsi="MS PGothic"/>
                <w:sz w:val="10"/>
                <w:szCs w:val="10"/>
                <w:color w:val="auto"/>
                <w:strike w:val="1"/>
                <w:w w:val="98"/>
              </w:rPr>
              <w:t>‑</w:t>
            </w:r>
            <w:r>
              <w:rPr>
                <w:rFonts w:ascii="Times New Roman" w:cs="Times New Roman" w:eastAsia="Times New Roman" w:hAnsi="Times New Roman"/>
                <w:sz w:val="10"/>
                <w:szCs w:val="10"/>
                <w:b w:val="1"/>
                <w:bCs w:val="1"/>
                <w:color w:val="auto"/>
                <w:w w:val="98"/>
              </w:rPr>
              <w:t>Equity Incentive</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2"/>
          </w:tcPr>
          <w:p>
            <w:pPr>
              <w:jc w:val="center"/>
              <w:ind w:left="711"/>
              <w:spacing w:after="0"/>
              <w:rPr>
                <w:sz w:val="20"/>
                <w:szCs w:val="20"/>
                <w:color w:val="auto"/>
              </w:rPr>
            </w:pPr>
            <w:r>
              <w:rPr>
                <w:rFonts w:ascii="Times New Roman" w:cs="Times New Roman" w:eastAsia="Times New Roman" w:hAnsi="Times New Roman"/>
                <w:sz w:val="10"/>
                <w:szCs w:val="10"/>
                <w:b w:val="1"/>
                <w:bCs w:val="1"/>
                <w:color w:val="auto"/>
                <w:w w:val="97"/>
              </w:rPr>
              <w:t>Under Equity Incentive</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and</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7"/>
              </w:rPr>
              <w:t>Plan Awards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jc w:val="center"/>
              <w:ind w:right="111"/>
              <w:spacing w:after="0"/>
              <w:rPr>
                <w:sz w:val="20"/>
                <w:szCs w:val="20"/>
                <w:color w:val="auto"/>
              </w:rPr>
            </w:pPr>
            <w:r>
              <w:rPr>
                <w:rFonts w:ascii="Times New Roman" w:cs="Times New Roman" w:eastAsia="Times New Roman" w:hAnsi="Times New Roman"/>
                <w:sz w:val="10"/>
                <w:szCs w:val="10"/>
                <w:b w:val="1"/>
                <w:bCs w:val="1"/>
                <w:color w:val="auto"/>
                <w:w w:val="97"/>
              </w:rPr>
              <w:t>Plan Awards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of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0" w:type="dxa"/>
            <w:vAlign w:val="bottom"/>
          </w:tcPr>
          <w:p>
            <w:pPr>
              <w:spacing w:after="0"/>
              <w:rPr>
                <w:sz w:val="1"/>
                <w:szCs w:val="1"/>
                <w:color w:val="auto"/>
              </w:rPr>
            </w:pPr>
          </w:p>
        </w:tc>
      </w:tr>
      <w:tr>
        <w:trPr>
          <w:trHeight w:val="34"/>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Award</w:t>
            </w:r>
          </w:p>
        </w:tc>
        <w:tc>
          <w:tcPr>
            <w:tcW w:w="74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Grant</w:t>
            </w:r>
          </w:p>
        </w:tc>
        <w:tc>
          <w:tcPr>
            <w:tcW w:w="1320" w:type="dxa"/>
            <w:vAlign w:val="bottom"/>
            <w:vMerge w:val="restart"/>
          </w:tcPr>
          <w:p>
            <w:pPr>
              <w:jc w:val="right"/>
              <w:ind w:right="411"/>
              <w:spacing w:after="0"/>
              <w:rPr>
                <w:sz w:val="20"/>
                <w:szCs w:val="20"/>
                <w:color w:val="auto"/>
              </w:rPr>
            </w:pPr>
            <w:r>
              <w:rPr>
                <w:rFonts w:ascii="Times New Roman" w:cs="Times New Roman" w:eastAsia="Times New Roman" w:hAnsi="Times New Roman"/>
                <w:sz w:val="10"/>
                <w:szCs w:val="10"/>
                <w:b w:val="1"/>
                <w:bCs w:val="1"/>
                <w:color w:val="auto"/>
              </w:rPr>
              <w:t>Approval</w:t>
            </w: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800" w:type="dxa"/>
            <w:vAlign w:val="bottom"/>
            <w:tcBorders>
              <w:top w:val="single" w:sz="8" w:color="auto"/>
            </w:tcBorders>
          </w:tcPr>
          <w:p>
            <w:pPr>
              <w:jc w:val="right"/>
              <w:ind w:right="132"/>
              <w:spacing w:after="0" w:line="95" w:lineRule="exact"/>
              <w:rPr>
                <w:sz w:val="20"/>
                <w:szCs w:val="20"/>
                <w:color w:val="auto"/>
              </w:rPr>
            </w:pPr>
            <w:r>
              <w:rPr>
                <w:rFonts w:ascii="Times New Roman" w:cs="Times New Roman" w:eastAsia="Times New Roman" w:hAnsi="Times New Roman"/>
                <w:sz w:val="10"/>
                <w:szCs w:val="10"/>
                <w:b w:val="1"/>
                <w:bCs w:val="1"/>
                <w:color w:val="auto"/>
              </w:rPr>
              <w:t>Threshold</w:t>
            </w:r>
          </w:p>
        </w:tc>
        <w:tc>
          <w:tcPr>
            <w:tcW w:w="800" w:type="dxa"/>
            <w:vAlign w:val="bottom"/>
            <w:tcBorders>
              <w:top w:val="single" w:sz="8" w:color="auto"/>
            </w:tcBorders>
          </w:tcPr>
          <w:p>
            <w:pPr>
              <w:jc w:val="center"/>
              <w:ind w:right="112"/>
              <w:spacing w:after="0" w:line="95" w:lineRule="exact"/>
              <w:rPr>
                <w:sz w:val="20"/>
                <w:szCs w:val="20"/>
                <w:color w:val="auto"/>
              </w:rPr>
            </w:pPr>
            <w:r>
              <w:rPr>
                <w:rFonts w:ascii="Times New Roman" w:cs="Times New Roman" w:eastAsia="Times New Roman" w:hAnsi="Times New Roman"/>
                <w:sz w:val="10"/>
                <w:szCs w:val="10"/>
                <w:b w:val="1"/>
                <w:bCs w:val="1"/>
                <w:color w:val="auto"/>
                <w:w w:val="96"/>
              </w:rPr>
              <w:t>Target</w:t>
            </w:r>
          </w:p>
        </w:tc>
        <w:tc>
          <w:tcPr>
            <w:tcW w:w="660" w:type="dxa"/>
            <w:vAlign w:val="bottom"/>
            <w:tcBorders>
              <w:top w:val="single" w:sz="8" w:color="auto"/>
            </w:tcBorders>
          </w:tcPr>
          <w:p>
            <w:pPr>
              <w:jc w:val="right"/>
              <w:ind w:right="152"/>
              <w:spacing w:after="0" w:line="95" w:lineRule="exact"/>
              <w:rPr>
                <w:sz w:val="20"/>
                <w:szCs w:val="20"/>
                <w:color w:val="auto"/>
              </w:rPr>
            </w:pPr>
            <w:r>
              <w:rPr>
                <w:rFonts w:ascii="Times New Roman" w:cs="Times New Roman" w:eastAsia="Times New Roman" w:hAnsi="Times New Roman"/>
                <w:sz w:val="10"/>
                <w:szCs w:val="10"/>
                <w:b w:val="1"/>
                <w:bCs w:val="1"/>
                <w:color w:val="auto"/>
                <w:w w:val="98"/>
              </w:rPr>
              <w:t>Maximum</w:t>
            </w:r>
          </w:p>
        </w:tc>
        <w:tc>
          <w:tcPr>
            <w:tcW w:w="80" w:type="dxa"/>
            <w:vAlign w:val="bottom"/>
          </w:tcPr>
          <w:p>
            <w:pPr>
              <w:spacing w:after="0"/>
              <w:rPr>
                <w:sz w:val="8"/>
                <w:szCs w:val="8"/>
                <w:color w:val="auto"/>
              </w:rPr>
            </w:pPr>
          </w:p>
        </w:tc>
        <w:tc>
          <w:tcPr>
            <w:tcW w:w="920" w:type="dxa"/>
            <w:vAlign w:val="bottom"/>
            <w:tcBorders>
              <w:top w:val="single" w:sz="8" w:color="auto"/>
            </w:tcBorders>
          </w:tcPr>
          <w:p>
            <w:pPr>
              <w:jc w:val="right"/>
              <w:ind w:right="211"/>
              <w:spacing w:after="0" w:line="95" w:lineRule="exact"/>
              <w:rPr>
                <w:sz w:val="20"/>
                <w:szCs w:val="20"/>
                <w:color w:val="auto"/>
              </w:rPr>
            </w:pPr>
            <w:r>
              <w:rPr>
                <w:rFonts w:ascii="Times New Roman" w:cs="Times New Roman" w:eastAsia="Times New Roman" w:hAnsi="Times New Roman"/>
                <w:sz w:val="10"/>
                <w:szCs w:val="10"/>
                <w:b w:val="1"/>
                <w:bCs w:val="1"/>
                <w:color w:val="auto"/>
              </w:rPr>
              <w:t>Threshold</w:t>
            </w:r>
          </w:p>
        </w:tc>
        <w:tc>
          <w:tcPr>
            <w:tcW w:w="860" w:type="dxa"/>
            <w:vAlign w:val="bottom"/>
            <w:tcBorders>
              <w:top w:val="single" w:sz="8" w:color="auto"/>
            </w:tcBorders>
          </w:tcPr>
          <w:p>
            <w:pPr>
              <w:jc w:val="right"/>
              <w:ind w:right="391"/>
              <w:spacing w:after="0" w:line="95" w:lineRule="exact"/>
              <w:rPr>
                <w:sz w:val="20"/>
                <w:szCs w:val="20"/>
                <w:color w:val="auto"/>
              </w:rPr>
            </w:pPr>
            <w:r>
              <w:rPr>
                <w:rFonts w:ascii="Times New Roman" w:cs="Times New Roman" w:eastAsia="Times New Roman" w:hAnsi="Times New Roman"/>
                <w:sz w:val="10"/>
                <w:szCs w:val="10"/>
                <w:b w:val="1"/>
                <w:bCs w:val="1"/>
                <w:color w:val="auto"/>
              </w:rPr>
              <w:t>Target</w:t>
            </w:r>
          </w:p>
        </w:tc>
        <w:tc>
          <w:tcPr>
            <w:tcW w:w="760" w:type="dxa"/>
            <w:vAlign w:val="bottom"/>
            <w:tcBorders>
              <w:top w:val="single" w:sz="8" w:color="auto"/>
            </w:tcBorders>
          </w:tcPr>
          <w:p>
            <w:pPr>
              <w:jc w:val="right"/>
              <w:ind w:right="251"/>
              <w:spacing w:after="0" w:line="95" w:lineRule="exact"/>
              <w:rPr>
                <w:sz w:val="20"/>
                <w:szCs w:val="20"/>
                <w:color w:val="auto"/>
              </w:rPr>
            </w:pPr>
            <w:r>
              <w:rPr>
                <w:rFonts w:ascii="Times New Roman" w:cs="Times New Roman" w:eastAsia="Times New Roman" w:hAnsi="Times New Roman"/>
                <w:sz w:val="10"/>
                <w:szCs w:val="10"/>
                <w:b w:val="1"/>
                <w:bCs w:val="1"/>
                <w:color w:val="auto"/>
                <w:w w:val="98"/>
              </w:rPr>
              <w:t>Maximum</w:t>
            </w:r>
          </w:p>
        </w:tc>
        <w:tc>
          <w:tcPr>
            <w:tcW w:w="80" w:type="dxa"/>
            <w:vAlign w:val="bottom"/>
          </w:tcPr>
          <w:p>
            <w:pPr>
              <w:spacing w:after="0"/>
              <w:rPr>
                <w:sz w:val="8"/>
                <w:szCs w:val="8"/>
                <w:color w:val="auto"/>
              </w:rPr>
            </w:pPr>
          </w:p>
        </w:tc>
        <w:tc>
          <w:tcPr>
            <w:tcW w:w="900" w:type="dxa"/>
            <w:vAlign w:val="bottom"/>
            <w:tcBorders>
              <w:top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or Units</w:t>
            </w:r>
          </w:p>
        </w:tc>
        <w:tc>
          <w:tcPr>
            <w:tcW w:w="100" w:type="dxa"/>
            <w:vAlign w:val="bottom"/>
          </w:tcPr>
          <w:p>
            <w:pPr>
              <w:spacing w:after="0"/>
              <w:rPr>
                <w:sz w:val="8"/>
                <w:szCs w:val="8"/>
                <w:color w:val="auto"/>
              </w:rPr>
            </w:pPr>
          </w:p>
        </w:tc>
        <w:tc>
          <w:tcPr>
            <w:tcW w:w="840" w:type="dxa"/>
            <w:vAlign w:val="bottom"/>
            <w:tcBorders>
              <w:top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0" w:type="dxa"/>
            <w:vAlign w:val="bottom"/>
          </w:tcPr>
          <w:p>
            <w:pPr>
              <w:spacing w:after="0"/>
              <w:rPr>
                <w:sz w:val="1"/>
                <w:szCs w:val="1"/>
                <w:color w:val="auto"/>
              </w:rPr>
            </w:pPr>
          </w:p>
        </w:tc>
      </w:tr>
      <w:tr>
        <w:trPr>
          <w:trHeight w:val="161"/>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2"/>
              </w:rPr>
              <w:t>Type</w:t>
            </w: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Date</w:t>
            </w:r>
          </w:p>
        </w:tc>
        <w:tc>
          <w:tcPr>
            <w:tcW w:w="1320" w:type="dxa"/>
            <w:vAlign w:val="bottom"/>
          </w:tcPr>
          <w:p>
            <w:pPr>
              <w:jc w:val="right"/>
              <w:ind w:right="511"/>
              <w:spacing w:after="0"/>
              <w:rPr>
                <w:sz w:val="20"/>
                <w:szCs w:val="20"/>
                <w:color w:val="auto"/>
              </w:rPr>
            </w:pPr>
            <w:r>
              <w:rPr>
                <w:rFonts w:ascii="Times New Roman" w:cs="Times New Roman" w:eastAsia="Times New Roman" w:hAnsi="Times New Roman"/>
                <w:sz w:val="10"/>
                <w:szCs w:val="10"/>
                <w:b w:val="1"/>
                <w:bCs w:val="1"/>
                <w:color w:val="auto"/>
              </w:rPr>
              <w:t>Date</w:t>
            </w:r>
          </w:p>
        </w:tc>
        <w:tc>
          <w:tcPr>
            <w:tcW w:w="800" w:type="dxa"/>
            <w:vAlign w:val="bottom"/>
          </w:tcPr>
          <w:p>
            <w:pPr>
              <w:jc w:val="right"/>
              <w:ind w:right="272"/>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6"/>
                <w:szCs w:val="6"/>
                <w:b w:val="1"/>
                <w:bCs w:val="1"/>
                <w:color w:val="auto"/>
              </w:rPr>
              <w:t>(1)</w:t>
            </w:r>
          </w:p>
        </w:tc>
        <w:tc>
          <w:tcPr>
            <w:tcW w:w="800" w:type="dxa"/>
            <w:vAlign w:val="bottom"/>
          </w:tcPr>
          <w:p>
            <w:pPr>
              <w:jc w:val="center"/>
              <w:ind w:right="112"/>
              <w:spacing w:after="0" w:line="161" w:lineRule="exact"/>
              <w:rPr>
                <w:sz w:val="20"/>
                <w:szCs w:val="20"/>
                <w:color w:val="auto"/>
              </w:rPr>
            </w:pPr>
            <w:r>
              <w:rPr>
                <w:rFonts w:ascii="Times New Roman" w:cs="Times New Roman" w:eastAsia="Times New Roman" w:hAnsi="Times New Roman"/>
                <w:sz w:val="18"/>
                <w:szCs w:val="18"/>
                <w:b w:val="1"/>
                <w:bCs w:val="1"/>
                <w:color w:val="auto"/>
                <w:w w:val="95"/>
                <w:vertAlign w:val="subscript"/>
              </w:rPr>
              <w:t>($)</w:t>
            </w:r>
            <w:r>
              <w:rPr>
                <w:rFonts w:ascii="Times New Roman" w:cs="Times New Roman" w:eastAsia="Times New Roman" w:hAnsi="Times New Roman"/>
                <w:sz w:val="6"/>
                <w:szCs w:val="6"/>
                <w:b w:val="1"/>
                <w:bCs w:val="1"/>
                <w:color w:val="auto"/>
                <w:w w:val="95"/>
              </w:rPr>
              <w:t>(2)</w:t>
            </w:r>
          </w:p>
        </w:tc>
        <w:tc>
          <w:tcPr>
            <w:tcW w:w="660" w:type="dxa"/>
            <w:vAlign w:val="bottom"/>
          </w:tcPr>
          <w:p>
            <w:pPr>
              <w:jc w:val="right"/>
              <w:ind w:right="272"/>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6"/>
                <w:szCs w:val="6"/>
                <w:b w:val="1"/>
                <w:bCs w:val="1"/>
                <w:color w:val="auto"/>
              </w:rPr>
              <w:t>(3)</w:t>
            </w:r>
          </w:p>
        </w:tc>
        <w:tc>
          <w:tcPr>
            <w:tcW w:w="80" w:type="dxa"/>
            <w:vAlign w:val="bottom"/>
          </w:tcPr>
          <w:p>
            <w:pPr>
              <w:spacing w:after="0"/>
              <w:rPr>
                <w:sz w:val="13"/>
                <w:szCs w:val="13"/>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0"/>
                <w:szCs w:val="10"/>
                <w:b w:val="1"/>
                <w:bCs w:val="1"/>
                <w:color w:val="auto"/>
              </w:rPr>
              <w:t>(#)</w:t>
            </w:r>
          </w:p>
        </w:tc>
        <w:tc>
          <w:tcPr>
            <w:tcW w:w="860" w:type="dxa"/>
            <w:vAlign w:val="bottom"/>
          </w:tcPr>
          <w:p>
            <w:pPr>
              <w:jc w:val="right"/>
              <w:ind w:right="471"/>
              <w:spacing w:after="0"/>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tcPr>
          <w:p>
            <w:pPr>
              <w:jc w:val="right"/>
              <w:ind w:right="411"/>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3"/>
                <w:szCs w:val="13"/>
                <w:color w:val="auto"/>
              </w:rPr>
            </w:pPr>
          </w:p>
        </w:tc>
        <w:tc>
          <w:tcPr>
            <w:tcW w:w="840" w:type="dxa"/>
            <w:vAlign w:val="bottom"/>
          </w:tcPr>
          <w:p>
            <w:pPr>
              <w:jc w:val="center"/>
              <w:spacing w:after="0" w:line="161" w:lineRule="exact"/>
              <w:rPr>
                <w:sz w:val="20"/>
                <w:szCs w:val="20"/>
                <w:color w:val="auto"/>
              </w:rPr>
            </w:pPr>
            <w:r>
              <w:rPr>
                <w:rFonts w:ascii="Times New Roman" w:cs="Times New Roman" w:eastAsia="Times New Roman" w:hAnsi="Times New Roman"/>
                <w:sz w:val="18"/>
                <w:szCs w:val="18"/>
                <w:b w:val="1"/>
                <w:bCs w:val="1"/>
                <w:color w:val="auto"/>
                <w:w w:val="95"/>
                <w:vertAlign w:val="subscript"/>
              </w:rPr>
              <w:t>($)</w:t>
            </w:r>
            <w:r>
              <w:rPr>
                <w:rFonts w:ascii="Times New Roman" w:cs="Times New Roman" w:eastAsia="Times New Roman" w:hAnsi="Times New Roman"/>
                <w:sz w:val="6"/>
                <w:szCs w:val="6"/>
                <w:b w:val="1"/>
                <w:bCs w:val="1"/>
                <w:color w:val="auto"/>
                <w:w w:val="95"/>
              </w:rPr>
              <w:t>(4)</w:t>
            </w:r>
          </w:p>
        </w:tc>
        <w:tc>
          <w:tcPr>
            <w:tcW w:w="0" w:type="dxa"/>
            <w:vAlign w:val="bottom"/>
          </w:tcPr>
          <w:p>
            <w:pPr>
              <w:spacing w:after="0"/>
              <w:rPr>
                <w:sz w:val="1"/>
                <w:szCs w:val="1"/>
                <w:color w:val="auto"/>
              </w:rPr>
            </w:pPr>
          </w:p>
        </w:tc>
      </w:tr>
      <w:tr>
        <w:trPr>
          <w:trHeight w:val="129"/>
        </w:trPr>
        <w:tc>
          <w:tcPr>
            <w:tcW w:w="156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0"/>
                <w:szCs w:val="10"/>
                <w:b w:val="1"/>
                <w:bCs w:val="1"/>
                <w:color w:val="auto"/>
              </w:rPr>
              <w:t>Craig Cornelius</w:t>
            </w:r>
            <w:r>
              <w:rPr>
                <w:rFonts w:ascii="Times New Roman" w:cs="Times New Roman" w:eastAsia="Times New Roman" w:hAnsi="Times New Roman"/>
                <w:sz w:val="12"/>
                <w:szCs w:val="12"/>
                <w:b w:val="1"/>
                <w:bCs w:val="1"/>
                <w:color w:val="auto"/>
                <w:vertAlign w:val="superscript"/>
              </w:rPr>
              <w:t>(6)</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TPSU</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4/15/2025</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2/15/2025</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16,392</w:t>
            </w:r>
          </w:p>
        </w:tc>
        <w:tc>
          <w:tcPr>
            <w:tcW w:w="86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color w:val="auto"/>
              </w:rPr>
              <w:t>32,784</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49,176</w:t>
            </w:r>
          </w:p>
        </w:tc>
        <w:tc>
          <w:tcPr>
            <w:tcW w:w="80" w:type="dxa"/>
            <w:vAlign w:val="bottom"/>
          </w:tcPr>
          <w:p>
            <w:pPr>
              <w:spacing w:after="0"/>
              <w:rPr>
                <w:sz w:val="11"/>
                <w:szCs w:val="1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935,000</w:t>
            </w: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5"/>
              </w:rPr>
              <w:t>CPSU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4/15/2025</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2/15/2025</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15,609</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31,218</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62,436</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907,507</w:t>
            </w:r>
          </w:p>
        </w:tc>
        <w:tc>
          <w:tcPr>
            <w:tcW w:w="0" w:type="dxa"/>
            <w:vAlign w:val="bottom"/>
          </w:tcPr>
          <w:p>
            <w:pPr>
              <w:spacing w:after="0"/>
              <w:rPr>
                <w:sz w:val="1"/>
                <w:szCs w:val="1"/>
                <w:color w:val="auto"/>
              </w:rPr>
            </w:pPr>
          </w:p>
        </w:tc>
      </w:tr>
      <w:tr>
        <w:trPr>
          <w:trHeight w:val="133"/>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rPr>
              <w:t>RSU</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4/15/2025</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2/15/2025</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31,218</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907,507</w:t>
            </w:r>
          </w:p>
        </w:tc>
        <w:tc>
          <w:tcPr>
            <w:tcW w:w="0" w:type="dxa"/>
            <w:vAlign w:val="bottom"/>
          </w:tcPr>
          <w:p>
            <w:pPr>
              <w:spacing w:after="0"/>
              <w:rPr>
                <w:sz w:val="1"/>
                <w:szCs w:val="1"/>
                <w:color w:val="auto"/>
              </w:rPr>
            </w:pPr>
          </w:p>
        </w:tc>
      </w:tr>
      <w:tr>
        <w:trPr>
          <w:trHeight w:val="153"/>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Sarah Rubenstein</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AIP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141,578</w:t>
            </w:r>
          </w:p>
        </w:tc>
        <w:tc>
          <w:tcPr>
            <w:tcW w:w="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283,156</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566,313</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7"/>
              </w:rPr>
              <w:t>TPSU</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4/15/2025</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2/15/2025</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3,182</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6,364</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9,546</w:t>
            </w: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181,501</w:t>
            </w:r>
          </w:p>
        </w:tc>
        <w:tc>
          <w:tcPr>
            <w:tcW w:w="0" w:type="dxa"/>
            <w:vAlign w:val="bottom"/>
          </w:tcPr>
          <w:p>
            <w:pPr>
              <w:spacing w:after="0"/>
              <w:rPr>
                <w:sz w:val="1"/>
                <w:szCs w:val="1"/>
                <w:color w:val="auto"/>
              </w:rPr>
            </w:pPr>
          </w:p>
        </w:tc>
      </w:tr>
      <w:tr>
        <w:trPr>
          <w:trHeight w:val="143"/>
        </w:trPr>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5"/>
              </w:rPr>
              <w:t>CPSU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4/15/2025</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2/15/2025</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3,122</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6,244</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12,488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181,513</w:t>
            </w: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0"/>
              </w:rPr>
              <w:t>RSU</w:t>
            </w:r>
            <w:r>
              <w:rPr>
                <w:rFonts w:ascii="Times New Roman" w:cs="Times New Roman" w:eastAsia="Times New Roman" w:hAnsi="Times New Roman"/>
                <w:sz w:val="12"/>
                <w:szCs w:val="12"/>
                <w:color w:val="auto"/>
                <w:w w:val="90"/>
                <w:vertAlign w:val="superscript"/>
              </w:rPr>
              <w:t>(5)</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4/15/2025</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2/15/2025</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6,244</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181,513</w:t>
            </w: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rPr>
              <w:t>RSU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4/15/2025</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2/15/2025</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6,880</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200,002</w:t>
            </w:r>
          </w:p>
        </w:tc>
        <w:tc>
          <w:tcPr>
            <w:tcW w:w="0" w:type="dxa"/>
            <w:vAlign w:val="bottom"/>
          </w:tcPr>
          <w:p>
            <w:pPr>
              <w:spacing w:after="0"/>
              <w:rPr>
                <w:sz w:val="1"/>
                <w:szCs w:val="1"/>
                <w:color w:val="auto"/>
              </w:rPr>
            </w:pPr>
          </w:p>
        </w:tc>
      </w:tr>
      <w:tr>
        <w:trPr>
          <w:trHeight w:val="142"/>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Kevin P. Malcarney</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AIP</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141,345</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282,690</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565,379</w:t>
            </w:r>
          </w:p>
        </w:tc>
        <w:tc>
          <w:tcPr>
            <w:tcW w:w="80" w:type="dxa"/>
            <w:vAlign w:val="bottom"/>
          </w:tcPr>
          <w:p>
            <w:pPr>
              <w:spacing w:after="0"/>
              <w:rPr>
                <w:sz w:val="12"/>
                <w:szCs w:val="12"/>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5"/>
        </w:trPr>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7"/>
              </w:rPr>
              <w:t>TPSU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4/15/2025</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2/15/2025</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3,177</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6,354</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9,531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181,216</w:t>
            </w:r>
          </w:p>
        </w:tc>
        <w:tc>
          <w:tcPr>
            <w:tcW w:w="0" w:type="dxa"/>
            <w:vAlign w:val="bottom"/>
          </w:tcPr>
          <w:p>
            <w:pPr>
              <w:spacing w:after="0"/>
              <w:rPr>
                <w:sz w:val="1"/>
                <w:szCs w:val="1"/>
                <w:color w:val="auto"/>
              </w:rPr>
            </w:pPr>
          </w:p>
        </w:tc>
      </w:tr>
      <w:tr>
        <w:trPr>
          <w:trHeight w:val="133"/>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5"/>
              </w:rPr>
              <w:t>CPSU</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4/15/2025</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2/15/2025</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3,117</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6,234</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12,468</w:t>
            </w: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181,222</w:t>
            </w: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rPr>
              <w:t>RSU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4/15/2025</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2/15/2025</w:t>
            </w: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6,233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80" w:hanging="111"/>
        <w:spacing w:after="0"/>
        <w:tabs>
          <w:tab w:leader="none" w:pos="180" w:val="left"/>
        </w:tabs>
        <w:numPr>
          <w:ilvl w:val="0"/>
          <w:numId w:val="4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Threshold non-equity incentive plan awards include annual incentive plan threshold payments, as presented in the CD&amp;A.</w:t>
      </w:r>
    </w:p>
    <w:p>
      <w:pPr>
        <w:spacing w:after="0" w:line="29"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4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Target non-equity incentive plan awards include annual incentive plan target payments, as presented in the CD&amp;A.</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tabs>
          <w:tab w:leader="none" w:pos="180" w:val="left"/>
        </w:tabs>
        <w:numPr>
          <w:ilvl w:val="0"/>
          <w:numId w:val="4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Maximum non-equity incentive plan awards include annual incentive plan maximum payments, as presented in the CD&amp;A.</w:t>
      </w:r>
    </w:p>
    <w:p>
      <w:pPr>
        <w:spacing w:after="0" w:line="31" w:lineRule="exact"/>
        <w:rPr>
          <w:rFonts w:ascii="Times New Roman" w:cs="Times New Roman" w:eastAsia="Times New Roman" w:hAnsi="Times New Roman"/>
          <w:sz w:val="7"/>
          <w:szCs w:val="7"/>
          <w:color w:val="auto"/>
        </w:rPr>
      </w:pPr>
    </w:p>
    <w:p>
      <w:pPr>
        <w:jc w:val="both"/>
        <w:ind w:left="60" w:firstLine="9"/>
        <w:spacing w:after="0" w:line="300" w:lineRule="auto"/>
        <w:tabs>
          <w:tab w:leader="none" w:pos="164" w:val="left"/>
        </w:tabs>
        <w:numPr>
          <w:ilvl w:val="0"/>
          <w:numId w:val="4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Reflects the grant date fair value determined in accordance with the Financial Accounting Standards Board Accounting Standards Codification Topic 718, Comparison—Stock Compensation. The Company uses the price of Clearway, Inc.’s Class C common stock on the date of grant as the fair value of the Company’s RSUs and CPSUs (and in the case of the CPSUs, based on the probable outcome at the date of grant, which was assumed to be target). The fair value of the TPSUs is estimated on the date of grant using a Monte Carlo simulation model. The number of PSUs granted is based on the 10-day average closing price of Clearway, Inc.’s Class C common stock ending on the date of grant.</w:t>
      </w:r>
    </w:p>
    <w:p>
      <w:pPr>
        <w:spacing w:after="0" w:line="3" w:lineRule="exact"/>
        <w:rPr>
          <w:rFonts w:ascii="Times New Roman" w:cs="Times New Roman" w:eastAsia="Times New Roman" w:hAnsi="Times New Roman"/>
          <w:sz w:val="12"/>
          <w:szCs w:val="12"/>
          <w:color w:val="auto"/>
          <w:vertAlign w:val="superscript"/>
        </w:rPr>
      </w:pPr>
    </w:p>
    <w:p>
      <w:pPr>
        <w:ind w:left="60" w:firstLine="9"/>
        <w:spacing w:after="0"/>
        <w:tabs>
          <w:tab w:leader="none" w:pos="174" w:val="left"/>
        </w:tabs>
        <w:numPr>
          <w:ilvl w:val="0"/>
          <w:numId w:val="4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Reflects a one-time grant of an additional RSU award (i.e., in addition to the annual RSU award traditionally issued pursuant to our long-term equity compensation program) to Ms. Rubenstein in recognition of achieving several key company initiatives.</w:t>
      </w:r>
    </w:p>
    <w:p>
      <w:pPr>
        <w:spacing w:after="0" w:line="147" w:lineRule="exact"/>
        <w:rPr>
          <w:rFonts w:ascii="Times New Roman" w:cs="Times New Roman" w:eastAsia="Times New Roman" w:hAnsi="Times New Roman"/>
          <w:sz w:val="13"/>
          <w:szCs w:val="13"/>
          <w:color w:val="auto"/>
          <w:vertAlign w:val="superscript"/>
        </w:rPr>
      </w:pPr>
    </w:p>
    <w:p>
      <w:pPr>
        <w:jc w:val="both"/>
        <w:ind w:left="60" w:firstLine="9"/>
        <w:spacing w:after="0" w:line="276" w:lineRule="auto"/>
        <w:tabs>
          <w:tab w:leader="none" w:pos="176" w:val="left"/>
        </w:tabs>
        <w:numPr>
          <w:ilvl w:val="0"/>
          <w:numId w:val="4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Disclosure with respect to Mr. Cornelius is limited to compensatory amounts that are payable by the Company, which are limited to his RSU and PSU grants under the LTIP. For a more detailed discussion of the compensatory amounts provided to Mr. Cornelius by CEG, please see the sections entitled “Base Salary,” Annual Incentive Compensation,” “Long-Term Incentive Compensation,” “Benefits,” and “Potential Severance and Change-In-Control Benefits” in the “Elements of Compensation” section above.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 End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0"/>
                <w:szCs w:val="10"/>
                <w:b w:val="1"/>
                <w:bCs w:val="1"/>
                <w:color w:val="auto"/>
              </w:rPr>
              <w:t>Option Awards</w:t>
            </w: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27"/>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left="171"/>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7"/>
              </w:rPr>
              <w:t>Market Value</w:t>
            </w:r>
          </w:p>
        </w:tc>
        <w:tc>
          <w:tcPr>
            <w:tcW w:w="2020" w:type="dxa"/>
            <w:vAlign w:val="bottom"/>
            <w:gridSpan w:val="3"/>
          </w:tcPr>
          <w:p>
            <w:pPr>
              <w:jc w:val="right"/>
              <w:ind w:right="471"/>
              <w:spacing w:after="0"/>
              <w:rPr>
                <w:sz w:val="20"/>
                <w:szCs w:val="20"/>
                <w:color w:val="auto"/>
              </w:rPr>
            </w:pPr>
            <w:r>
              <w:rPr>
                <w:rFonts w:ascii="Times New Roman" w:cs="Times New Roman" w:eastAsia="Times New Roman" w:hAnsi="Times New Roman"/>
                <w:sz w:val="10"/>
                <w:szCs w:val="10"/>
                <w:b w:val="1"/>
                <w:bCs w:val="1"/>
                <w:color w:val="auto"/>
              </w:rPr>
              <w:t>Equity Incentive Plan Awards</w:t>
            </w:r>
          </w:p>
        </w:tc>
      </w:tr>
      <w:tr>
        <w:trPr>
          <w:trHeight w:val="120"/>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of Shares</w:t>
            </w: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of Shares or</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1060" w:type="dxa"/>
            <w:vAlign w:val="bottom"/>
          </w:tcPr>
          <w:p>
            <w:pPr>
              <w:spacing w:after="0"/>
              <w:rPr>
                <w:sz w:val="10"/>
                <w:szCs w:val="10"/>
                <w:color w:val="auto"/>
              </w:rPr>
            </w:pPr>
          </w:p>
        </w:tc>
      </w:tr>
      <w:tr>
        <w:trPr>
          <w:trHeight w:val="106"/>
        </w:trPr>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left="151"/>
              <w:spacing w:after="0" w:line="106"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jc w:val="center"/>
              <w:ind w:right="280"/>
              <w:spacing w:after="0" w:line="106"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0"/>
                <w:szCs w:val="10"/>
                <w:b w:val="1"/>
                <w:bCs w:val="1"/>
                <w:color w:val="auto"/>
              </w:rPr>
              <w:t>or Units of</w:t>
            </w:r>
          </w:p>
        </w:tc>
        <w:tc>
          <w:tcPr>
            <w:tcW w:w="1480" w:type="dxa"/>
            <w:vAlign w:val="bottom"/>
            <w:gridSpan w:val="3"/>
          </w:tcPr>
          <w:p>
            <w:pPr>
              <w:jc w:val="center"/>
              <w:ind w:right="380"/>
              <w:spacing w:after="0" w:line="106" w:lineRule="exact"/>
              <w:rPr>
                <w:sz w:val="20"/>
                <w:szCs w:val="20"/>
                <w:color w:val="auto"/>
              </w:rPr>
            </w:pPr>
            <w:r>
              <w:rPr>
                <w:rFonts w:ascii="Times New Roman" w:cs="Times New Roman" w:eastAsia="Times New Roman" w:hAnsi="Times New Roman"/>
                <w:sz w:val="10"/>
                <w:szCs w:val="10"/>
                <w:b w:val="1"/>
                <w:bCs w:val="1"/>
                <w:color w:val="auto"/>
              </w:rPr>
              <w:t>Units of</w:t>
            </w:r>
          </w:p>
        </w:tc>
        <w:tc>
          <w:tcPr>
            <w:tcW w:w="960" w:type="dxa"/>
            <w:vAlign w:val="bottom"/>
            <w:gridSpan w:val="2"/>
          </w:tcPr>
          <w:p>
            <w:pPr>
              <w:jc w:val="center"/>
              <w:ind w:right="420"/>
              <w:spacing w:after="0" w:line="106"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106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7"/>
              </w:rPr>
              <w:t>Market Value</w:t>
            </w: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Stock that</w:t>
            </w: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Stock that</w:t>
            </w: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8"/>
              </w:rPr>
              <w:t>Shares that</w:t>
            </w: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of Unearned</w:t>
            </w:r>
          </w:p>
        </w:tc>
      </w:tr>
      <w:tr>
        <w:trPr>
          <w:trHeight w:val="106"/>
        </w:trPr>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left="171"/>
              <w:spacing w:after="0" w:line="106" w:lineRule="exact"/>
              <w:rPr>
                <w:sz w:val="20"/>
                <w:szCs w:val="20"/>
                <w:color w:val="auto"/>
              </w:rPr>
            </w:pPr>
            <w:r>
              <w:rPr>
                <w:rFonts w:ascii="Times New Roman" w:cs="Times New Roman" w:eastAsia="Times New Roman" w:hAnsi="Times New Roman"/>
                <w:sz w:val="10"/>
                <w:szCs w:val="10"/>
                <w:b w:val="1"/>
                <w:bCs w:val="1"/>
                <w:color w:val="auto"/>
              </w:rPr>
              <w:t>Options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jc w:val="center"/>
              <w:ind w:right="280"/>
              <w:spacing w:after="0" w:line="106"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50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left="131"/>
              <w:spacing w:after="0" w:line="106"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1480" w:type="dxa"/>
            <w:vAlign w:val="bottom"/>
            <w:gridSpan w:val="3"/>
          </w:tcPr>
          <w:p>
            <w:pPr>
              <w:jc w:val="center"/>
              <w:ind w:right="400"/>
              <w:spacing w:after="0" w:line="106"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960" w:type="dxa"/>
            <w:vAlign w:val="bottom"/>
            <w:gridSpan w:val="2"/>
          </w:tcPr>
          <w:p>
            <w:pPr>
              <w:jc w:val="center"/>
              <w:ind w:right="420"/>
              <w:spacing w:after="0" w:line="106" w:lineRule="exact"/>
              <w:rPr>
                <w:sz w:val="20"/>
                <w:szCs w:val="20"/>
                <w:color w:val="auto"/>
              </w:rPr>
            </w:pPr>
            <w:r>
              <w:rPr>
                <w:rFonts w:ascii="Times New Roman" w:cs="Times New Roman" w:eastAsia="Times New Roman" w:hAnsi="Times New Roman"/>
                <w:sz w:val="10"/>
                <w:szCs w:val="10"/>
                <w:b w:val="1"/>
                <w:bCs w:val="1"/>
                <w:color w:val="auto"/>
                <w:w w:val="98"/>
              </w:rPr>
              <w:t>Have</w:t>
            </w:r>
          </w:p>
        </w:tc>
        <w:tc>
          <w:tcPr>
            <w:tcW w:w="106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8"/>
              </w:rPr>
              <w:t>Shares that Have</w:t>
            </w: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left="131"/>
              <w:spacing w:after="0"/>
              <w:rPr>
                <w:sz w:val="20"/>
                <w:szCs w:val="20"/>
                <w:color w:val="auto"/>
              </w:rPr>
            </w:pPr>
            <w:r>
              <w:rPr>
                <w:rFonts w:ascii="Times New Roman" w:cs="Times New Roman" w:eastAsia="Times New Roman" w:hAnsi="Times New Roman"/>
                <w:sz w:val="10"/>
                <w:szCs w:val="10"/>
                <w:b w:val="1"/>
                <w:bCs w:val="1"/>
                <w:color w:val="auto"/>
                <w:w w:val="99"/>
              </w:rPr>
              <w:t>Expiration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Vested</w:t>
            </w: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6"/>
              </w:rPr>
              <w:t>Vested</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7"/>
              </w:rPr>
              <w:t>Not Vested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Not Vested</w:t>
            </w:r>
          </w:p>
        </w:tc>
      </w:tr>
      <w:tr>
        <w:trPr>
          <w:trHeight w:val="164"/>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6"/>
              </w:rPr>
              <w:t>Exercisable</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Unexercisable</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(1)</w:t>
            </w:r>
          </w:p>
        </w:tc>
      </w:tr>
      <w:tr>
        <w:trPr>
          <w:trHeight w:val="13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Craig Cornelius</w:t>
            </w:r>
          </w:p>
        </w:tc>
        <w:tc>
          <w:tcPr>
            <w:tcW w:w="8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62,513</w:t>
            </w:r>
            <w:r>
              <w:rPr>
                <w:rFonts w:ascii="Times New Roman" w:cs="Times New Roman" w:eastAsia="Times New Roman" w:hAnsi="Times New Roman"/>
                <w:sz w:val="12"/>
                <w:szCs w:val="12"/>
                <w:color w:val="auto"/>
                <w:vertAlign w:val="superscript"/>
              </w:rPr>
              <w:t>(2)(3)</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2,079,182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239895</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7,978,907</w:t>
            </w:r>
          </w:p>
        </w:tc>
      </w:tr>
      <w:tr>
        <w:trPr>
          <w:trHeight w:val="14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Sarah Rubenstein</w:t>
            </w:r>
          </w:p>
        </w:tc>
        <w:tc>
          <w:tcPr>
            <w:tcW w:w="800" w:type="dxa"/>
            <w:vAlign w:val="bottom"/>
          </w:tcPr>
          <w:p>
            <w:pPr>
              <w:spacing w:after="0"/>
              <w:rPr>
                <w:sz w:val="12"/>
                <w:szCs w:val="12"/>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21,439</w:t>
            </w:r>
            <w:r>
              <w:rPr>
                <w:rFonts w:ascii="Times New Roman" w:cs="Times New Roman" w:eastAsia="Times New Roman" w:hAnsi="Times New Roman"/>
                <w:sz w:val="12"/>
                <w:szCs w:val="12"/>
                <w:color w:val="auto"/>
                <w:vertAlign w:val="superscript"/>
              </w:rPr>
              <w:t>(5)</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713,050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66,364</w:t>
            </w:r>
            <w:r>
              <w:rPr>
                <w:rFonts w:ascii="Times New Roman" w:cs="Times New Roman" w:eastAsia="Times New Roman" w:hAnsi="Times New Roman"/>
                <w:sz w:val="12"/>
                <w:szCs w:val="12"/>
                <w:color w:val="auto"/>
                <w:vertAlign w:val="superscript"/>
              </w:rPr>
              <w:t>(6)</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2,207,266</w:t>
            </w:r>
          </w:p>
        </w:tc>
      </w:tr>
      <w:tr>
        <w:trPr>
          <w:trHeight w:val="14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Kevin P. Malcarney</w:t>
            </w:r>
          </w:p>
        </w:tc>
        <w:tc>
          <w:tcPr>
            <w:tcW w:w="8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14,437</w:t>
            </w:r>
            <w:r>
              <w:rPr>
                <w:rFonts w:ascii="Times New Roman" w:cs="Times New Roman" w:eastAsia="Times New Roman" w:hAnsi="Times New Roman"/>
                <w:sz w:val="12"/>
                <w:szCs w:val="12"/>
                <w:color w:val="auto"/>
                <w:vertAlign w:val="superscript"/>
              </w:rPr>
              <w:t>(7)</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480,187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67801</w:t>
            </w:r>
            <w:r>
              <w:rPr>
                <w:rFonts w:ascii="Times New Roman" w:cs="Times New Roman" w:eastAsia="Times New Roman" w:hAnsi="Times New Roman"/>
                <w:sz w:val="12"/>
                <w:szCs w:val="12"/>
                <w:color w:val="auto"/>
                <w:vertAlign w:val="superscript"/>
              </w:rPr>
              <w:t>(8)</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2,255,061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firstLine="5"/>
        <w:spacing w:after="0" w:line="288" w:lineRule="auto"/>
        <w:tabs>
          <w:tab w:leader="none" w:pos="114" w:val="left"/>
        </w:tabs>
        <w:numPr>
          <w:ilvl w:val="0"/>
          <w:numId w:val="4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Assumes achievement at (i) maximum award level for 2023 TPSU awards, (ii) maximum award level TPSU 2024 awards, (iii) maximum award level for 2025 TPSU awards and (iv) maximum award level for 2025 CPSU awards, as discussed in the CD&amp;A.</w:t>
      </w:r>
    </w:p>
    <w:p>
      <w:pPr>
        <w:ind w:left="120" w:hanging="115"/>
        <w:spacing w:after="0"/>
        <w:tabs>
          <w:tab w:leader="none" w:pos="120" w:val="left"/>
        </w:tabs>
        <w:numPr>
          <w:ilvl w:val="0"/>
          <w:numId w:val="4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This amount represents 10,406 RSUs and 452 DERs that will vest on April 15, 2026, 10,406 RSUs and 452 DERs that will vest on April 15, 2027, and 10,406 RSUs and 453 DERs that will vest on April 15, 2028.</w:t>
      </w:r>
    </w:p>
    <w:p>
      <w:pPr>
        <w:spacing w:after="0" w:line="24" w:lineRule="exact"/>
        <w:rPr>
          <w:rFonts w:ascii="Times New Roman" w:cs="Times New Roman" w:eastAsia="Times New Roman" w:hAnsi="Times New Roman"/>
          <w:sz w:val="14"/>
          <w:szCs w:val="14"/>
          <w:color w:val="auto"/>
          <w:vertAlign w:val="superscript"/>
        </w:rPr>
      </w:pPr>
    </w:p>
    <w:p>
      <w:pPr>
        <w:ind w:left="120" w:hanging="115"/>
        <w:spacing w:after="0" w:line="200" w:lineRule="auto"/>
        <w:tabs>
          <w:tab w:leader="none" w:pos="120" w:val="left"/>
        </w:tabs>
        <w:numPr>
          <w:ilvl w:val="0"/>
          <w:numId w:val="4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This amount represents 12,636 RSUs and 1,155 DERs that will vest on July 1, 2026 and 12,674 RSUs and 1,159 DERs that will vest on July 1, 2027.</w:t>
      </w:r>
    </w:p>
    <w:p>
      <w:pPr>
        <w:spacing w:after="0" w:line="24" w:lineRule="exact"/>
        <w:rPr>
          <w:rFonts w:ascii="Times New Roman" w:cs="Times New Roman" w:eastAsia="Times New Roman" w:hAnsi="Times New Roman"/>
          <w:sz w:val="14"/>
          <w:szCs w:val="14"/>
          <w:color w:val="auto"/>
          <w:vertAlign w:val="superscript"/>
        </w:rPr>
      </w:pPr>
    </w:p>
    <w:p>
      <w:pPr>
        <w:ind w:left="120" w:hanging="115"/>
        <w:spacing w:after="0"/>
        <w:tabs>
          <w:tab w:leader="none" w:pos="120" w:val="left"/>
        </w:tabs>
        <w:numPr>
          <w:ilvl w:val="0"/>
          <w:numId w:val="4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This amount represents 113,834 PSUs and 9,597 DERs that will vest on April 15, 2027, and 111,612 PSUs and 4,852 DERs that will vest on April 15, 2028.</w:t>
      </w:r>
    </w:p>
    <w:p>
      <w:pPr>
        <w:spacing w:after="0" w:line="17" w:lineRule="exact"/>
        <w:rPr>
          <w:rFonts w:ascii="Times New Roman" w:cs="Times New Roman" w:eastAsia="Times New Roman" w:hAnsi="Times New Roman"/>
          <w:sz w:val="7"/>
          <w:szCs w:val="7"/>
          <w:color w:val="auto"/>
        </w:rPr>
      </w:pPr>
    </w:p>
    <w:p>
      <w:pPr>
        <w:ind w:left="120" w:hanging="115"/>
        <w:spacing w:after="0"/>
        <w:tabs>
          <w:tab w:leader="none" w:pos="120" w:val="left"/>
        </w:tabs>
        <w:numPr>
          <w:ilvl w:val="0"/>
          <w:numId w:val="4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This amount represents 8,649 RSUs and 771 DERs that will vest on April 15, 2026, 6,974 RSUs and 470 DERs that will vest on April 15, 2027, and 4,384 RSUs and 191 DERs that will vest on April 15, 2028.</w:t>
      </w:r>
    </w:p>
    <w:p>
      <w:pPr>
        <w:spacing w:after="0" w:line="24" w:lineRule="exact"/>
        <w:rPr>
          <w:rFonts w:ascii="Times New Roman" w:cs="Times New Roman" w:eastAsia="Times New Roman" w:hAnsi="Times New Roman"/>
          <w:sz w:val="14"/>
          <w:szCs w:val="14"/>
          <w:color w:val="auto"/>
          <w:vertAlign w:val="superscript"/>
        </w:rPr>
      </w:pPr>
    </w:p>
    <w:p>
      <w:pPr>
        <w:ind w:left="120" w:hanging="115"/>
        <w:spacing w:after="0"/>
        <w:tabs>
          <w:tab w:leader="none" w:pos="120" w:val="left"/>
        </w:tabs>
        <w:numPr>
          <w:ilvl w:val="0"/>
          <w:numId w:val="4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This amount represents 15,375 PSUs and 2,754 DERs that will vest on April 15, 2026, 22,788 PSUs and 2,453 DERs that will vest on April 15, 2027, and 22,034 PSUs and 960 DERs that will vest on April 15, 2028.</w:t>
      </w:r>
    </w:p>
    <w:p>
      <w:pPr>
        <w:spacing w:after="0" w:line="31" w:lineRule="exact"/>
        <w:rPr>
          <w:rFonts w:ascii="Times New Roman" w:cs="Times New Roman" w:eastAsia="Times New Roman" w:hAnsi="Times New Roman"/>
          <w:sz w:val="7"/>
          <w:szCs w:val="7"/>
          <w:color w:val="auto"/>
        </w:rPr>
      </w:pPr>
    </w:p>
    <w:p>
      <w:pPr>
        <w:ind w:firstLine="5"/>
        <w:spacing w:after="0" w:line="237" w:lineRule="auto"/>
        <w:tabs>
          <w:tab w:leader="none" w:pos="114" w:val="left"/>
        </w:tabs>
        <w:numPr>
          <w:ilvl w:val="0"/>
          <w:numId w:val="4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This amount represents 6,493 RSUs and 698 DERs that will vest on April 15, 2026, 4,701 RSUs and 373 DERs that will vest on April 15, 2027, and 2,082 RSUs and 90 DERs that will vest on April 15, 2028. Amounts do not include shares withheld for payment of taxes due to retirement eligibility.</w:t>
      </w:r>
    </w:p>
    <w:p>
      <w:pPr>
        <w:spacing w:after="0" w:line="13" w:lineRule="exact"/>
        <w:rPr>
          <w:rFonts w:ascii="Times New Roman" w:cs="Times New Roman" w:eastAsia="Times New Roman" w:hAnsi="Times New Roman"/>
          <w:sz w:val="14"/>
          <w:szCs w:val="14"/>
          <w:color w:val="auto"/>
          <w:vertAlign w:val="superscript"/>
        </w:rPr>
      </w:pPr>
    </w:p>
    <w:p>
      <w:pPr>
        <w:ind w:left="140" w:hanging="135"/>
        <w:spacing w:after="0"/>
        <w:tabs>
          <w:tab w:leader="none" w:pos="1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represents 16,452 PSUs and 2,946 DERs that will vest on April 15, 2026, 22,974 PSUs and 2,474 DERs that will vest on April 15, 2027, and 21,999 PSUs and 956 DERs that will vest on April 15, 2028.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 Exercises and Stock Vested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2560" w:type="dxa"/>
            <w:vAlign w:val="bottom"/>
            <w:gridSpan w:val="3"/>
          </w:tcPr>
          <w:p>
            <w:pPr>
              <w:jc w:val="right"/>
              <w:ind w:right="876"/>
              <w:spacing w:after="0"/>
              <w:rPr>
                <w:sz w:val="20"/>
                <w:szCs w:val="20"/>
                <w:color w:val="auto"/>
              </w:rPr>
            </w:pPr>
            <w:r>
              <w:rPr>
                <w:rFonts w:ascii="Times New Roman" w:cs="Times New Roman" w:eastAsia="Times New Roman" w:hAnsi="Times New Roman"/>
                <w:sz w:val="11"/>
                <w:szCs w:val="11"/>
                <w:b w:val="1"/>
                <w:bCs w:val="1"/>
                <w:color w:val="auto"/>
              </w:rPr>
              <w:t>Stock Awards</w:t>
            </w:r>
          </w:p>
        </w:tc>
      </w:tr>
      <w:tr>
        <w:trPr>
          <w:trHeight w:val="119"/>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280" w:type="dxa"/>
            <w:vAlign w:val="bottom"/>
            <w:tcBorders>
              <w:top w:val="single" w:sz="8" w:color="auto"/>
            </w:tcBorders>
          </w:tcPr>
          <w:p>
            <w:pPr>
              <w:spacing w:after="0"/>
              <w:rPr>
                <w:sz w:val="10"/>
                <w:szCs w:val="10"/>
                <w:color w:val="auto"/>
              </w:rPr>
            </w:pPr>
          </w:p>
        </w:tc>
      </w:tr>
      <w:tr>
        <w:trPr>
          <w:trHeight w:val="12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Acquired on</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Value Realized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Acquired</w:t>
            </w: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Value Realized</w:t>
            </w:r>
          </w:p>
        </w:tc>
      </w:tr>
      <w:tr>
        <w:trPr>
          <w:trHeight w:val="126"/>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on Exercise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on Vesting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Vesting</w:t>
            </w:r>
          </w:p>
        </w:tc>
      </w:tr>
      <w:tr>
        <w:trPr>
          <w:trHeight w:val="18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(1)</w:t>
            </w:r>
          </w:p>
        </w:tc>
        <w:tc>
          <w:tcPr>
            <w:tcW w:w="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1"/>
        </w:trPr>
        <w:tc>
          <w:tcPr>
            <w:tcW w:w="620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Craig Cornelius </w:t>
            </w:r>
            <w:r>
              <w:rPr>
                <w:rFonts w:ascii="Times New Roman" w:cs="Times New Roman" w:eastAsia="Times New Roman" w:hAnsi="Times New Roman"/>
                <w:sz w:val="18"/>
                <w:szCs w:val="18"/>
                <w:color w:val="auto"/>
                <w:vertAlign w:val="superscript"/>
              </w:rPr>
              <w:t>(2)</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4"/>
                <w:szCs w:val="14"/>
                <w:color w:val="auto"/>
              </w:rPr>
              <w:t>13,406</w:t>
            </w:r>
            <w:r>
              <w:rPr>
                <w:rFonts w:ascii="Times New Roman" w:cs="Times New Roman" w:eastAsia="Times New Roman" w:hAnsi="Times New Roman"/>
                <w:sz w:val="18"/>
                <w:szCs w:val="18"/>
                <w:color w:val="auto"/>
                <w:vertAlign w:val="superscript"/>
              </w:rPr>
              <w:t>(3)</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4"/>
                <w:szCs w:val="14"/>
                <w:color w:val="auto"/>
              </w:rPr>
              <w:t>423,108</w:t>
            </w:r>
            <w:r>
              <w:rPr>
                <w:rFonts w:ascii="Times New Roman" w:cs="Times New Roman" w:eastAsia="Times New Roman" w:hAnsi="Times New Roman"/>
                <w:sz w:val="18"/>
                <w:szCs w:val="18"/>
                <w:color w:val="auto"/>
                <w:vertAlign w:val="superscript"/>
              </w:rPr>
              <w:t>(4)</w:t>
            </w:r>
          </w:p>
        </w:tc>
      </w:tr>
      <w:tr>
        <w:trPr>
          <w:trHeight w:val="202"/>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Sarah Rubenstein</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4"/>
                <w:szCs w:val="14"/>
                <w:color w:val="auto"/>
              </w:rPr>
              <w:t>9,019</w:t>
            </w:r>
            <w:r>
              <w:rPr>
                <w:rFonts w:ascii="Times New Roman" w:cs="Times New Roman" w:eastAsia="Times New Roman" w:hAnsi="Times New Roman"/>
                <w:sz w:val="18"/>
                <w:szCs w:val="18"/>
                <w:color w:val="auto"/>
                <w:vertAlign w:val="superscript"/>
              </w:rPr>
              <w:t>(5)</w:t>
            </w:r>
          </w:p>
        </w:tc>
        <w:tc>
          <w:tcPr>
            <w:tcW w:w="80" w:type="dxa"/>
            <w:vAlign w:val="bottom"/>
          </w:tcPr>
          <w:p>
            <w:pPr>
              <w:spacing w:after="0"/>
              <w:rPr>
                <w:sz w:val="17"/>
                <w:szCs w:val="17"/>
                <w:color w:val="auto"/>
              </w:rPr>
            </w:pPr>
          </w:p>
        </w:tc>
        <w:tc>
          <w:tcPr>
            <w:tcW w:w="1280" w:type="dxa"/>
            <w:vAlign w:val="bottom"/>
          </w:tcPr>
          <w:p>
            <w:pPr>
              <w:jc w:val="right"/>
              <w:spacing w:after="0" w:line="201" w:lineRule="exact"/>
              <w:rPr>
                <w:sz w:val="20"/>
                <w:szCs w:val="20"/>
                <w:color w:val="auto"/>
              </w:rPr>
            </w:pPr>
            <w:r>
              <w:rPr>
                <w:rFonts w:ascii="Times New Roman" w:cs="Times New Roman" w:eastAsia="Times New Roman" w:hAnsi="Times New Roman"/>
                <w:sz w:val="14"/>
                <w:szCs w:val="14"/>
                <w:color w:val="auto"/>
              </w:rPr>
              <w:t>262,230</w:t>
            </w:r>
            <w:r>
              <w:rPr>
                <w:rFonts w:ascii="Times New Roman" w:cs="Times New Roman" w:eastAsia="Times New Roman" w:hAnsi="Times New Roman"/>
                <w:sz w:val="18"/>
                <w:szCs w:val="18"/>
                <w:color w:val="auto"/>
                <w:vertAlign w:val="superscript"/>
              </w:rPr>
              <w:t>(5)</w:t>
            </w:r>
          </w:p>
        </w:tc>
      </w:tr>
      <w:tr>
        <w:trPr>
          <w:trHeight w:val="202"/>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Kevin P. Malcarney</w:t>
            </w: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4"/>
                <w:szCs w:val="14"/>
                <w:color w:val="auto"/>
              </w:rPr>
              <w:t>10,246</w:t>
            </w:r>
            <w:r>
              <w:rPr>
                <w:rFonts w:ascii="Times New Roman" w:cs="Times New Roman" w:eastAsia="Times New Roman" w:hAnsi="Times New Roman"/>
                <w:sz w:val="18"/>
                <w:szCs w:val="18"/>
                <w:color w:val="auto"/>
                <w:vertAlign w:val="superscript"/>
              </w:rPr>
              <w:t>(6)</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4"/>
                <w:szCs w:val="14"/>
                <w:color w:val="auto"/>
              </w:rPr>
              <w:t>297,958</w:t>
            </w:r>
            <w:r>
              <w:rPr>
                <w:rFonts w:ascii="Times New Roman" w:cs="Times New Roman" w:eastAsia="Times New Roman" w:hAnsi="Times New Roman"/>
                <w:sz w:val="18"/>
                <w:szCs w:val="18"/>
                <w:color w:val="auto"/>
                <w:vertAlign w:val="superscript"/>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shares and DERs that vested pursuant to underlying awards and converted to Class C common stock in 2025.</w:t>
      </w:r>
    </w:p>
    <w:p>
      <w:pPr>
        <w:spacing w:after="0" w:line="34" w:lineRule="exact"/>
        <w:rPr>
          <w:rFonts w:ascii="Times New Roman" w:cs="Times New Roman" w:eastAsia="Times New Roman" w:hAnsi="Times New Roman"/>
          <w:sz w:val="14"/>
          <w:szCs w:val="14"/>
          <w:color w:val="auto"/>
          <w:vertAlign w:val="superscript"/>
        </w:rPr>
      </w:pPr>
    </w:p>
    <w:p>
      <w:pPr>
        <w:ind w:left="60" w:firstLine="9"/>
        <w:spacing w:after="0" w:line="237" w:lineRule="auto"/>
        <w:tabs>
          <w:tab w:leader="none" w:pos="174" w:val="left"/>
        </w:tabs>
        <w:numPr>
          <w:ilvl w:val="0"/>
          <w:numId w:val="4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Disclosure with respect to Mr. Cornelius is limited to compensatory amounts that are payable by the Company, which are limited to his RSU and PSU grants under the LTIP. For a more detailed discussion of the equity-based compensation provided to Mr. Cornelius by CEG, please see the section entitled “Long-Term Incentive Compensation” in the “Elements of Compensation” section above.</w:t>
      </w:r>
    </w:p>
    <w:p>
      <w:pPr>
        <w:spacing w:after="0" w:line="9" w:lineRule="exact"/>
        <w:rPr>
          <w:rFonts w:ascii="Times New Roman" w:cs="Times New Roman" w:eastAsia="Times New Roman" w:hAnsi="Times New Roman"/>
          <w:sz w:val="13"/>
          <w:szCs w:val="13"/>
          <w:color w:val="auto"/>
          <w:vertAlign w:val="superscript"/>
        </w:rPr>
      </w:pPr>
    </w:p>
    <w:p>
      <w:pPr>
        <w:ind w:left="180" w:hanging="111"/>
        <w:spacing w:after="0"/>
        <w:tabs>
          <w:tab w:leader="none" w:pos="180"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12,635 RSUs and 771 DERs that vested on July 1, 2025 pursuant to the stock compensation awards granted on July 1, 2024.</w:t>
      </w:r>
    </w:p>
    <w:p>
      <w:pPr>
        <w:spacing w:after="0" w:line="24" w:lineRule="exact"/>
        <w:rPr>
          <w:rFonts w:ascii="Times New Roman" w:cs="Times New Roman" w:eastAsia="Times New Roman" w:hAnsi="Times New Roman"/>
          <w:sz w:val="14"/>
          <w:szCs w:val="14"/>
          <w:color w:val="auto"/>
          <w:vertAlign w:val="superscript"/>
        </w:rPr>
      </w:pPr>
    </w:p>
    <w:p>
      <w:pPr>
        <w:ind w:left="60" w:firstLine="9"/>
        <w:spacing w:after="0" w:line="277" w:lineRule="auto"/>
        <w:tabs>
          <w:tab w:leader="none" w:pos="174" w:val="left"/>
        </w:tabs>
        <w:numPr>
          <w:ilvl w:val="0"/>
          <w:numId w:val="4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values are based on the July 1, 2025 Class C common stock closing share price of $34.56 for awards and DERs that vested on July 1, 2025. The values for retirement eligible NEOs are based on the Class C common stock closing share price on the dates the awards became eligible for continued vesting and shares and DERs were withheld to cover certain tax withholding obligations.</w:t>
      </w:r>
    </w:p>
    <w:p>
      <w:pPr>
        <w:spacing w:after="0" w:line="3" w:lineRule="exact"/>
        <w:rPr>
          <w:rFonts w:ascii="Times New Roman" w:cs="Times New Roman" w:eastAsia="Times New Roman" w:hAnsi="Times New Roman"/>
          <w:sz w:val="7"/>
          <w:szCs w:val="7"/>
          <w:color w:val="auto"/>
        </w:rPr>
      </w:pPr>
    </w:p>
    <w:p>
      <w:pPr>
        <w:ind w:left="60" w:firstLine="9"/>
        <w:spacing w:after="0" w:line="260" w:lineRule="auto"/>
        <w:tabs>
          <w:tab w:leader="none" w:pos="174" w:val="left"/>
        </w:tabs>
        <w:numPr>
          <w:ilvl w:val="0"/>
          <w:numId w:val="4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Represents 1,308 RSUs, 2,399 PSUs and 662 DERs that vested on April 15, 2025 pursuant to the respective stock compensation awards granted on April 15, 2022. Represents 1,677 RSUs and 218 DERs that vested on April 15, 2025 pursuant to the stock compensation award granted on April 15, 2023. Represents 2,596 RSUs and 159 DERs that vested on April 15, 2025 pursuant to the stock compensation award granted on April 15, 2024.</w:t>
      </w:r>
    </w:p>
    <w:p>
      <w:pPr>
        <w:ind w:left="180" w:hanging="111"/>
        <w:spacing w:after="0"/>
        <w:tabs>
          <w:tab w:leader="none" w:pos="180"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values are based on the April 15, 2025 Class C common stock closing share price of $29.07 for awards and DERs that vested on April 15, 2025.</w:t>
      </w:r>
    </w:p>
    <w:p>
      <w:pPr>
        <w:spacing w:after="0" w:line="24" w:lineRule="exact"/>
        <w:rPr>
          <w:rFonts w:ascii="Times New Roman" w:cs="Times New Roman" w:eastAsia="Times New Roman" w:hAnsi="Times New Roman"/>
          <w:sz w:val="14"/>
          <w:szCs w:val="14"/>
          <w:color w:val="auto"/>
          <w:vertAlign w:val="superscript"/>
        </w:rPr>
      </w:pPr>
    </w:p>
    <w:p>
      <w:pPr>
        <w:jc w:val="both"/>
        <w:ind w:left="60" w:firstLine="9"/>
        <w:spacing w:after="0" w:line="267" w:lineRule="auto"/>
        <w:tabs>
          <w:tab w:leader="none" w:pos="175" w:val="left"/>
        </w:tabs>
        <w:numPr>
          <w:ilvl w:val="0"/>
          <w:numId w:val="4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2,617 RSUs, 2,952 PSUs and 687 DERs that vested on April 15, 2025 pursuant to the respective stock compensation awards granted on April 15, 2022. Represents 1,635 RSUs and 212 DERs that vested on April 15, 2025 pursuant to the stock compensation award granted on April 15, 2023. Represents 1,610 RSUs and 287 DERs that vested on April 15, 2025 pursuant to the stock compensation award granted on April 15, 2024. Represents 232 shares and 14 DERs that were withheld to cover certain tax obligations in 2025 due to awards becoming eligible for continued vesting in the event of the NEO’s retirement.</w:t>
      </w:r>
    </w:p>
    <w:p>
      <w:pPr>
        <w:ind w:left="60" w:firstLine="9"/>
        <w:spacing w:after="0" w:line="300" w:lineRule="auto"/>
        <w:tabs>
          <w:tab w:leader="none" w:pos="164" w:val="left"/>
        </w:tabs>
        <w:numPr>
          <w:ilvl w:val="0"/>
          <w:numId w:val="4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values are based on the April 15, 2025 Class C common stock closing share price of $29.07 for awards and DERs that vested on April 15, 2025. The values for retirement eligible NEOs are based on the Class C common stock closing share price on the dates the awards became eligible for continued vesting and shares and DERs were withheld to cover certain tax withholding obligations.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i w:val="1"/>
          <w:iCs w:val="1"/>
          <w:color w:val="auto"/>
        </w:rPr>
        <w:t>Employment Agreements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2025, the Company was not a party to employment agreements with any executive officers other than Mr. Cornelius, the terms of which are described below.</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April 30, 2024, the Board elected Mr. Cornelius as a member of the Board and appointed Mr. Cornelius as President and CEO of the Company, in each case effective as of July 1, 2024. As part of Mr. Cornelius’ appointment as our President and CEO, the then-existing employment agreement between CEG and Mr. Cornelius was amended and restated on April 30, 2024 (the “Cornelius Employment Agreement”). Pursuant to the Cornelius Employment Agreement, the Company was added as a party to that agreement.</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Cornelius Employment Agreement entitles Mr. Cornelius to an annual base salary, payable solely by CEG, the amount of which was set at $750,000 as of July 1, 2024. As noted above, the Compensation Committee is permitted under the terms of the Cornelius Employment Agreement to make non-binding recommendations to the CEG compensation committee regarding any adjustments to Mr. Cornelius’ base salary, and the CEG compensation committee will have final decisional authority with respect to such adjustments.</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Cornelius Employment Agreement provides that, beginning with the 2024 fiscal year, Mr. Cornelius will be eligible to receive an annual incentive bonus (the “CEG Bonus”) at a target amount equal to 175% of his then-current base salary, with the actual CEG Bonus with respect to a fiscal year payable solely by CEG based on the level of achievement of annual performance objectives established for such fiscal year with respect to the Company; provided that such actual CEG Bonus may not exceed 300% of Mr. Cornelius’ base salary as in effect at the end of such fiscal year. As noted above, during fiscal years in which Mr. Cornelius serves as our CEO (including fiscal year 2024), the performance objectives with respect to the CEG Bonus will be established, evaluated and approved (including for such purposes that relate to the extent to which such performance objectives are attained) by the Compensation Committee. The CEG compensation committee, in turn, is permitted to make non-binding recommendations to the Compensation Committee regarding the foregoing performance objective matters, and the Compensation Committee will have final decisional authority with respect to these matters.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Cornelius Employment Agreement provides that Mr. Cornelius is eligible to participate in the LTIP, on such terms as are set forth therein. Mr. Cornelius’ annual long term incentive grant under the LTIP (the “Target LTIP Award”) is set at a target amount of 350% of his then-current annual base salary pursuant to the Cornelius Employment Agreement (noting that the Target LTIP Award for 2025 was increased from the 350% level specified in the Cornelius Employment Agreement to 367% in recognition of his performance). One-third of the Target LTIP Award will be in the form of RSUs, and the remainder will be in the form of PSUs. In addition, Mr. Cornelius received from CEG (i.e., under CEG’s equity compensation program) a grant of 375,000 restricted shares of the Class C common stock of Clearway, Inc. on April 30, 2024, which vests in three equal amounts, with one-third having vested on each of October 1, 2024 and October 1, 2025 and one-third vesting on October 1, 2026.</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addition to the compensation and benefits described above, the Cornelius Employment Agreement provides that Mr. Cornelius was eligible to receive the following in 2025:</w:t>
      </w:r>
    </w:p>
    <w:p>
      <w:pPr>
        <w:spacing w:after="0" w:line="51" w:lineRule="exact"/>
        <w:rPr>
          <w:sz w:val="20"/>
          <w:szCs w:val="20"/>
          <w:color w:val="auto"/>
        </w:rPr>
      </w:pPr>
    </w:p>
    <w:p>
      <w:pPr>
        <w:ind w:left="760" w:hanging="246"/>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by CEG for reasonable business expenses incurred by Mr. Cornelius in carrying out his duties and responsibilities as our President and CEO; and</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by CEG for personal financial advisory and tax preparation services, or related legal advisory services, up to a maximum of $12,000 per year.</w:t>
      </w:r>
    </w:p>
    <w:p>
      <w:pPr>
        <w:spacing w:after="0" w:line="20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under the Cornelius Employment Agreement, CEG and the Company have agreed to indemnify Mr. Cornelius against any claims arising as a result of his position with the Company to the fullest extent legally permitted by CEG’s and Clearway, Inc.’s certificates of incorporation, bylaws or board resolutions (in each case, as applicable to CEG and the Clearway, Inc.) or, if greater, Delaware law.</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Cornelius Employment Agreement includes (i) non-competition and non-interference restrictions on Mr. Cornelius with respect to CEG and the Company during the term of his employment, and (ii) non-solicitation restrictions on Mr. Cornelius with respect to CEG and the Company during the term of his employment and for one year after his termination of employment. The Cornelius Employment Agreement also includes confidentiality, non-disparagement obligations and intellectual property restrictions with respect to CEG and the Company.</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Cornelius Employment Agreement further entitles Mr. Cornelius to certain severance payments and benefits in the event his employment is terminated under certain circumstances. These separation benefits are described and quantified under the section “Severance and Change-in-Control” below.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0" w:name="page81"/>
    <w:bookmarkEnd w:id="80"/>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Severance and Change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In</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-36195</wp:posOffset>
            </wp:positionV>
            <wp:extent cx="55880" cy="36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-36195</wp:posOffset>
            </wp:positionV>
            <wp:extent cx="55880" cy="36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Each NEO’s PSU and RSU award agreements under the LTIP provide for special treatment in the event of such NEO’s termination of employment under certain circumstances. Upon death or disability, an NEO’s RSUs and PSUs will vest in full and the performance metrics with respect to the PSUs will be deemed to be achieved at target levels. Upon retirement, an NEO’s RSUs and 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the Cornelius Employment Agreement with respect to Mr. Cornelius and in the LTIP with respect to the Other NEOs) during the “Change in Control Period” (as defined below), (i) such NEO’s RSUs will vest in full immediately upon the later of such change in control or such termination of employment and (ii) the Compensation Committee will, pursuant to the terms and conditions of the LTIP and PSU award agreement(s), determine the final amount payable to the NEO, if any, pursuant to his or her PSUs; provided that, the payout percentage with respect to Mr. Cornelius’ TPSUs that were granted to him in 2024 will be deemed met at no less than 100% (or, if greater, the payout percentage determined based on actual performance). In general, no PSUs or RSUs that are granted to our NEOs provide for accelerated vesting upon any other involuntary termination. In addition, pursuant to the terms of the PSUs granted in 2025 and subject to the NEO remaining employed until immediately prior to the change in control, the Compensation Committee will determine whether the performance goals have been met in the event of a change in control, and the greater of actual performance or target performance will be deemed to be achieved, in which case (x) the PSUs will convert to time-based awards that vest at the earliest of the conclusion of the performance period to the extent the PSUs are assumed by the surviving or continuing company, or (y) the PSUs will vest immediately to the extent the PSUs are not assumed by the surviving or continuing company. RSUs granted to Ms. Rubenstein prior to her promotion to Senior Vice President and Chief Accounting Officer in 2022 provide pro-rated vesting for certain involuntary terminations of service that occur in connection with certain significant business events.</w:t>
      </w:r>
    </w:p>
    <w:p>
      <w:pPr>
        <w:spacing w:after="0" w:line="10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“Change in Control Period” is the period commencing six months immediately prior to, and ending 24 months immediately following, a “change in control” of the Company (as “change in control” is defined in the LTIP).</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Mr. Cornelius’ Benefits</w:t>
      </w:r>
    </w:p>
    <w:p>
      <w:pPr>
        <w:spacing w:after="0" w:line="138" w:lineRule="exact"/>
        <w:rPr>
          <w:sz w:val="20"/>
          <w:szCs w:val="20"/>
          <w:color w:val="auto"/>
        </w:rPr>
      </w:pPr>
    </w:p>
    <w:p>
      <w:pPr>
        <w:jc w:val="both"/>
        <w:ind w:firstLine="318"/>
        <w:spacing w:after="0" w:line="284" w:lineRule="auto"/>
        <w:rPr>
          <w:sz w:val="20"/>
          <w:szCs w:val="20"/>
          <w:color w:val="auto"/>
        </w:rPr>
      </w:pPr>
      <w:r>
        <w:rPr>
          <w:rFonts w:ascii="Times New Roman" w:cs="Times New Roman" w:eastAsia="Times New Roman" w:hAnsi="Times New Roman"/>
          <w:sz w:val="14"/>
          <w:szCs w:val="14"/>
          <w:color w:val="auto"/>
        </w:rPr>
        <w:t>Pursuant to the Cornelius Employment Agreement, if Mr. Cornelius’ employment is involuntarily terminated by CEG without cause, or if he terminates his employment for good reason, CEG agrees to provide Mr. Cornelius with the following severance benefits, subject to Mr. Cornelius executing a release of claims as a condition to receipt of certain of the following severance benefits:</w:t>
      </w:r>
    </w:p>
    <w:p>
      <w:pPr>
        <w:spacing w:after="0" w:line="1" w:lineRule="exact"/>
        <w:rPr>
          <w:sz w:val="20"/>
          <w:szCs w:val="20"/>
          <w:color w:val="auto"/>
        </w:rPr>
      </w:pPr>
    </w:p>
    <w:p>
      <w:pPr>
        <w:ind w:left="520" w:hanging="260"/>
        <w:spacing w:after="0" w:line="284"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accrued but unpaid base salary through the date of termination, any unpaid or unreimbursed expenses incurred in accordance with the Cornelius Employment Agreement and any benefits provided under CEG’s employee benefit plans upon a termination of employment (collectively, the “Accrued Obligations”);</w:t>
      </w:r>
    </w:p>
    <w:p>
      <w:pPr>
        <w:ind w:left="520" w:hanging="260"/>
        <w:spacing w:after="0" w:line="284"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his then-current base salary plus the target annual bonus for the year of termination, which amount will be paid during the 12-month period after the date of termination in accordance with CEG’s regular payroll practices;</w:t>
      </w: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unpaid annual bonus amount for the prior fiscal year to the extent not paid prior to the termination date;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of COBRA premiums for 12 months after the date of termination, except that such coverage will be discontinued if Mr. Cornelius becomes eligible to receive any health benefits as a result of subsequent employment or service.</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If Mr. Cornelius’ employment is terminated as a result of his death or disability, Mr. Cornelius will be entitled to (i) the Accrued Obligations, (ii) any unpaid annual bonus for the prior fiscal year, and (iii) an amount equal to the target annual bonus for the year of termination, which amount will be prorated based on the number of days during the year that Mr. Cornelius was employed by CEG. The Cornelius Employment Agreement does not provide Mr. Cornelius with any additional enhanced benefits in connection with a change in control, such that his severance benefits, if any, will be dictated by the trigger event for his termination.</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If an excise tax under Section 4999 of the Code would be triggered by any payments under the Cornelius Employment Agreement or otherwise, such payments will be reduced so that no amounts are subject to Section 4999 of the Code, provided that such payments will only be reduced to the extent that the after-tax value of amounts received by Mr. Cornelius after application of such reduction would exceed the after-tax value of the amounts received without application of such reduction.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color w:val="auto"/>
        </w:rPr>
        <w:t>Other NEO Benefits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Under our AIP program, Other NEOs may receive a discretionary payment of the pro-rated target bonus in the event of their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under the CIC Plan, in the event of involuntary termination without cause, the Other NEOs are entitled to a general severance benefit equal to 1.5 times base salary payable in a lump sum amount and reimbursement for COBRA benefits continuation cost for a period of 18 months.</w:t>
      </w:r>
    </w:p>
    <w:p>
      <w:pPr>
        <w:spacing w:after="0" w:line="8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CIC Plan also provides such Other NEOs with a change-in-control benefit in the event that, within six months prior to, as well as 24 months following, a change-in-control, their employment is either involuntarily terminated by the Company without cause or voluntarily terminated by such Other NEO for good reason. The change-in-control benefit for Mr. Malcarney and Ms. Rubenstein consists of an amount equal to 2.99 times the sum of his or her base salary plus the AIP target bonus for the year of termination. Such Other NEOs are also eligible for (i) an amount equal to their target bonus for the year of termination, pro-rated for the number of days during the performance period that they were employed by the Company and (ii) reimbursement for all or a portion of their COBRA benefits continuation cost for a period of 18 months at the same coverage level and cost, on an after-tax basis, as in effect immediately prior to his or her termination of employment.</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a condition of receiving severance or change-in-control benefits, such Other NEOs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 The provisions of the CIC Plan may only be waived by the written consent of the Compensation Committee and the applicable Other NEO.</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If an excise tax under Section 4999 of the Code would be triggered for an Other NEO by any payments under the CIC Plan or otherwise upon a change-in-control, such payments will be reduced so that no amounts are subject to Section 4999 of the Code, if such reduction would cause the amount to be retained by such Other NEO to be greater than if such Other NEO were required to pay such excise tax.</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of Change-In-Control, Etc.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general, under the CIC Plan and the LTIP:</w:t>
      </w:r>
    </w:p>
    <w:p>
      <w:pPr>
        <w:spacing w:after="0" w:line="136" w:lineRule="exact"/>
        <w:rPr>
          <w:sz w:val="20"/>
          <w:szCs w:val="20"/>
          <w:color w:val="auto"/>
        </w:rPr>
      </w:pPr>
    </w:p>
    <w:p>
      <w:pPr>
        <w:jc w:val="both"/>
        <w:ind w:left="520" w:firstLine="58"/>
        <w:spacing w:after="0" w:line="257" w:lineRule="auto"/>
        <w:tabs>
          <w:tab w:leader="none" w:pos="102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“change-in-control” occurs in the event: (a) any person or entity (with certain exceptions), becomes the direct or indirect beneficial owner of 50% or more of the Company’s then-outstanding voting or common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w:t>
      </w:r>
    </w:p>
    <w:p>
      <w:pPr>
        <w:spacing w:after="0" w:line="106" w:lineRule="exact"/>
        <w:rPr>
          <w:rFonts w:ascii="Times New Roman" w:cs="Times New Roman" w:eastAsia="Times New Roman" w:hAnsi="Times New Roman"/>
          <w:sz w:val="14"/>
          <w:szCs w:val="14"/>
          <w:color w:val="auto"/>
        </w:rPr>
      </w:pPr>
    </w:p>
    <w:p>
      <w:pPr>
        <w:jc w:val="both"/>
        <w:ind w:left="520" w:firstLine="58"/>
        <w:spacing w:after="0" w:line="264" w:lineRule="auto"/>
        <w:tabs>
          <w:tab w:leader="none" w:pos="102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involuntary termination without “cause” means the Other NEO’s termination by the Company for any reason other than the Other NEO’s (a) conviction of, or agreement to a plea of nolo contendere to, a felony or other crime involving moral turpitude (including an indictment therefore under the CIC Plan), (b) willful failure to perform his or her duties,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2" w:name="page83"/>
    <w:bookmarkEnd w:id="82"/>
    <w:p>
      <w:pPr>
        <w:ind w:left="320"/>
        <w:spacing w:after="0"/>
        <w:rPr>
          <w:sz w:val="20"/>
          <w:szCs w:val="20"/>
          <w:color w:val="auto"/>
        </w:rPr>
      </w:pPr>
      <w:r>
        <w:rPr>
          <w:rFonts w:ascii="Times New Roman" w:cs="Times New Roman" w:eastAsia="Times New Roman" w:hAnsi="Times New Roman"/>
          <w:sz w:val="14"/>
          <w:szCs w:val="14"/>
          <w:color w:val="auto"/>
        </w:rPr>
        <w:t>In general, under the CIC Plan:</w:t>
      </w:r>
    </w:p>
    <w:p>
      <w:pPr>
        <w:spacing w:after="0" w:line="136" w:lineRule="exact"/>
        <w:rPr>
          <w:sz w:val="20"/>
          <w:szCs w:val="20"/>
          <w:color w:val="auto"/>
        </w:rPr>
      </w:pPr>
    </w:p>
    <w:p>
      <w:pPr>
        <w:jc w:val="both"/>
        <w:ind w:left="520" w:firstLine="58"/>
        <w:spacing w:after="0" w:line="261" w:lineRule="auto"/>
        <w:tabs>
          <w:tab w:leader="none" w:pos="102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voluntary termination for “good reason” means the resignation of the Other NEO in the event of (a)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across-the-board basis), (b) a material reduction in his or her benefits under or relative level of participation in the Company’s employee benefit plans, (c) a material diminution in his or her title, authority, duties or responsibilities, (d) a relocation of his or her principal place of employment by more than 50 miles or (e) the failure of a successor to the Company to agree, in writing, to assume the CIC Plan.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general, under the Cornelius Employment Agreement:</w:t>
      </w:r>
    </w:p>
    <w:p>
      <w:pPr>
        <w:spacing w:after="0" w:line="136" w:lineRule="exact"/>
        <w:rPr>
          <w:sz w:val="20"/>
          <w:szCs w:val="20"/>
          <w:color w:val="auto"/>
        </w:rPr>
      </w:pPr>
    </w:p>
    <w:p>
      <w:pPr>
        <w:jc w:val="both"/>
        <w:ind w:left="520" w:firstLine="58"/>
        <w:spacing w:after="0" w:line="258" w:lineRule="auto"/>
        <w:tabs>
          <w:tab w:leader="none" w:pos="1026" w:val="left"/>
        </w:tabs>
        <w:numPr>
          <w:ilvl w:val="0"/>
          <w:numId w:val="49"/>
        </w:numPr>
        <w:rPr>
          <w:rFonts w:ascii="Arial" w:cs="Arial" w:eastAsia="Arial" w:hAnsi="Arial"/>
          <w:sz w:val="14"/>
          <w:szCs w:val="14"/>
          <w:color w:val="auto"/>
        </w:rPr>
      </w:pPr>
      <w:r>
        <w:rPr>
          <w:rFonts w:ascii="Times New Roman" w:cs="Times New Roman" w:eastAsia="Times New Roman" w:hAnsi="Times New Roman"/>
          <w:sz w:val="14"/>
          <w:szCs w:val="14"/>
          <w:color w:val="auto"/>
        </w:rPr>
        <w:t>An involuntary termination with “cause” means Mr. Cornelius’ (i) act or acts of gross negligence or willful misconduct in the course of his employment under the Cornelius Employment Agreement, (ii) willful failure or refusal to perform in any material respect his duties or responsibilities (other than by reason of disability or illness), (iii) misappropriation (or attempted misappropriation) of any assets or business opportunities with respect to CEG or the Company, (iv) embezzlement or fraud committed (or attempted) by him or at his direction, (v) conviction of, indictment for, or pleading “guilty” or “ no contest” to, (x) a felony or (y) any other criminal charge that has, or could be reasonably expected to have, an adverse impact on the performance of his duties with respect to CEG or the Company or otherwise result in material injury to the reputation or business of CEG or the Company, (vi) any material violation of CEG’s policies, including but not limited to those relating to sexual harassment or business conduct, and those otherwise set forth in the manuals or statements of policy of the CEG, or (vii) Mr. Cornelius’ material breach of the Cornelius Employment Agreement.</w:t>
      </w:r>
    </w:p>
    <w:p>
      <w:pPr>
        <w:spacing w:after="0" w:line="103" w:lineRule="exact"/>
        <w:rPr>
          <w:rFonts w:ascii="Arial" w:cs="Arial" w:eastAsia="Arial" w:hAnsi="Arial"/>
          <w:sz w:val="14"/>
          <w:szCs w:val="14"/>
          <w:color w:val="auto"/>
        </w:rPr>
      </w:pPr>
    </w:p>
    <w:p>
      <w:pPr>
        <w:jc w:val="both"/>
        <w:ind w:left="520" w:firstLine="58"/>
        <w:spacing w:after="0" w:line="264" w:lineRule="auto"/>
        <w:tabs>
          <w:tab w:leader="none" w:pos="102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voluntary termination for “good reason” means the resignation of Mr. Cornelius in the event of (i) a material demotion in his title, duties, or responsibilities under the Cornelius Employment Agreement, including a change in reporting relationship to the CEG board of directors, (ii) a material reduction in his base salary or target CEG Bonus opportunity (other than pursuant to an across-the-board reduction applicable to all similarly situated executives), (iii) the relocation of his principal place of employment of more than twenty (20) miles from its current location, or (iv) any other material breach of a provision of the Cornelius Employment Agreement by CEG.</w:t>
      </w:r>
    </w:p>
    <w:p>
      <w:pPr>
        <w:spacing w:after="0" w:line="67"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i w:val="1"/>
          <w:iCs w:val="1"/>
          <w:color w:val="auto"/>
        </w:rPr>
        <w:t>Potential Payments Upon Termination or Change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In</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Control</w:t>
      </w:r>
    </w:p>
    <w:p>
      <w:pPr>
        <w:spacing w:after="0" w:line="167"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amount of compensation payable by the Company to each NEO in each circumstance is shown in the table below, assuming that termination of employment occurred as of December 31, 2025, and including payments by the Company that would have been earned as of such date. The amounts shown below do not include benefits payable under the Company’s 401(k) plan.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Involuntary Not for</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7"/>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Cause or Voluntary</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7"/>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Voluntary</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Good Reason</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6"/>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Following</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Death or</w:t>
            </w:r>
          </w:p>
        </w:tc>
        <w:tc>
          <w:tcPr>
            <w:tcW w:w="1340" w:type="dxa"/>
            <w:vAlign w:val="bottom"/>
          </w:tcPr>
          <w:p>
            <w:pPr>
              <w:spacing w:after="0"/>
              <w:rPr>
                <w:sz w:val="10"/>
                <w:szCs w:val="10"/>
                <w:color w:val="auto"/>
              </w:rPr>
            </w:pPr>
          </w:p>
        </w:tc>
      </w:tr>
      <w:tr>
        <w:trPr>
          <w:trHeight w:val="180"/>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Not for Cause ($)</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 Good Reason ($)</w:t>
            </w:r>
          </w:p>
        </w:tc>
        <w:tc>
          <w:tcPr>
            <w:tcW w:w="10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 Change in Control ($)</w:t>
            </w:r>
            <w:r>
              <w:rPr>
                <w:rFonts w:ascii="Times New Roman" w:cs="Times New Roman" w:eastAsia="Times New Roman" w:hAnsi="Times New Roman"/>
                <w:sz w:val="14"/>
                <w:szCs w:val="14"/>
                <w:b w:val="1"/>
                <w:bCs w:val="1"/>
                <w:color w:val="auto"/>
                <w:w w:val="99"/>
                <w:vertAlign w:val="superscript"/>
              </w:rPr>
              <w:t>(1)</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Disability ($)</w:t>
            </w: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Qualified Retirement</w:t>
            </w:r>
          </w:p>
        </w:tc>
      </w:tr>
      <w:tr>
        <w:trPr>
          <w:trHeight w:val="192"/>
        </w:trPr>
        <w:tc>
          <w:tcPr>
            <w:tcW w:w="290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4"/>
                <w:szCs w:val="14"/>
                <w:color w:val="auto"/>
              </w:rPr>
              <w:t>Craig Cornelius</w:t>
            </w:r>
            <w:r>
              <w:rPr>
                <w:rFonts w:ascii="Times New Roman" w:cs="Times New Roman" w:eastAsia="Times New Roman" w:hAnsi="Times New Roman"/>
                <w:sz w:val="18"/>
                <w:szCs w:val="18"/>
                <w:color w:val="auto"/>
                <w:vertAlign w:val="superscript"/>
              </w:rPr>
              <w:t>(2)</w:t>
            </w:r>
          </w:p>
        </w:tc>
        <w:tc>
          <w:tcPr>
            <w:tcW w:w="1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6,827,629</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6,827,629</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Sarah Rubenstein</w:t>
            </w:r>
          </w:p>
        </w:tc>
        <w:tc>
          <w:tcPr>
            <w:tcW w:w="13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971,759</w:t>
            </w:r>
          </w:p>
        </w:tc>
        <w:tc>
          <w:tcPr>
            <w:tcW w:w="100" w:type="dxa"/>
            <w:vAlign w:val="bottom"/>
          </w:tcPr>
          <w:p>
            <w:pPr>
              <w:spacing w:after="0"/>
              <w:rPr>
                <w:sz w:val="17"/>
                <w:szCs w:val="17"/>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4,579,749</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2,395,431</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90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Kevin P. Malcarney</w:t>
            </w:r>
            <w:r>
              <w:rPr>
                <w:rFonts w:ascii="Times New Roman" w:cs="Times New Roman" w:eastAsia="Times New Roman" w:hAnsi="Times New Roman"/>
                <w:sz w:val="18"/>
                <w:szCs w:val="18"/>
                <w:color w:val="auto"/>
                <w:vertAlign w:val="superscript"/>
              </w:rPr>
              <w:t>(3)</w:t>
            </w: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970,507</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3,971,933</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2,193,184</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80" w:hanging="111"/>
        <w:spacing w:after="0"/>
        <w:tabs>
          <w:tab w:leader="none" w:pos="180" w:val="left"/>
        </w:tabs>
        <w:numPr>
          <w:ilvl w:val="0"/>
          <w:numId w:val="5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figure for Mr. Malcarney represents the best-net after-tax scenario if this results in him being in a better net after-tax position.</w:t>
      </w:r>
    </w:p>
    <w:p>
      <w:pPr>
        <w:spacing w:after="0" w:line="29"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5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Disclosure with respect to Mr. Cornelius is limited to separation benefits that are payable by the Company, which are limited to his RSU and PSU grants under the LTIP.</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tabs>
          <w:tab w:leader="none" w:pos="180" w:val="left"/>
        </w:tabs>
        <w:numPr>
          <w:ilvl w:val="0"/>
          <w:numId w:val="5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Mr. Malcarney met the definition of Qualified Retirement in 2022 and is therefore entitled to certain payments and vesting of awards in the event he retires before they vest.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CEO Pay Ratio</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a result of the rules under the Dodd-Frank Act, the SEC requires disclosure of the CEO to median employee pay ratio. The following is a reasonable estimate, prepared under applicable SEC rules, of the ratio of the annual total compensation of our CEO, Mr. Cornelius, to the annual total compensation of our median employee. The annual total compensation of Mr. Cornelius listed below equals his total compensation as reported in the Summary Compensation Table. As discussed further in the CD&amp;A, this amount with respect to Mr. Cornelius reflects only those amounts that are payable to him by the Company, which are limited to Mr. Cornelius’ annual RSU and PSU grants under the LTIP for 2025.</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3" w:name="page84"/>
    <w:bookmarkEnd w:id="83"/>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For purposes of our 2025 CEO pay ratio analysis, in light of the Company’s transition to being externally managed by CEG, effective for all periods in fiscal year 2025, a new median employee was identified in 2025. The identification of this median employee was based on the evaluation of the Company’s remaining employee base whose employment did not transfer to CEG on or before the beginning of 2025. Our median employee’s annual total compensation for 2025 was determined using the same rules that apply to reporting the compensation for our NEOs (including our CEO) in the “Total” column of the “Summary Compensation Table—2023—2025” above. The following total compensation amounts were determined based on that methodology:</w:t>
      </w:r>
    </w:p>
    <w:p>
      <w:pPr>
        <w:spacing w:after="0" w:line="3" w:lineRule="exact"/>
        <w:rPr>
          <w:sz w:val="20"/>
          <w:szCs w:val="20"/>
          <w:color w:val="auto"/>
        </w:rPr>
      </w:pPr>
    </w:p>
    <w:p>
      <w:pPr>
        <w:ind w:left="760" w:hanging="246"/>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total compensation of the median employee for 2025 was $750,797.</w:t>
      </w:r>
    </w:p>
    <w:p>
      <w:pPr>
        <w:spacing w:after="0" w:line="2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total compensation of Mr. Cornelius for 2025 was $2,750,014.</w:t>
      </w:r>
    </w:p>
    <w:p>
      <w:pPr>
        <w:spacing w:after="0" w:line="2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we estimate that Mr. Cornelius’ 2025 annual total compensation was approximately 4 times that of our median employee.</w:t>
      </w:r>
    </w:p>
    <w:p>
      <w:pPr>
        <w:spacing w:after="0" w:line="13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4" w:name="page85"/>
    <w:bookmarkEnd w:id="84"/>
    <w:p>
      <w:pPr>
        <w:ind w:right="4480"/>
        <w:spacing w:after="0" w:line="444" w:lineRule="auto"/>
        <w:rPr>
          <w:sz w:val="20"/>
          <w:szCs w:val="20"/>
          <w:color w:val="auto"/>
        </w:rPr>
      </w:pPr>
      <w:r>
        <w:rPr>
          <w:rFonts w:ascii="Times New Roman" w:cs="Times New Roman" w:eastAsia="Times New Roman" w:hAnsi="Times New Roman"/>
          <w:sz w:val="14"/>
          <w:szCs w:val="14"/>
          <w:b w:val="1"/>
          <w:bCs w:val="1"/>
          <w:color w:val="auto"/>
        </w:rPr>
        <w:t>Item 12 — Security Ownership of Certain Beneficial Owners and Management and Related Stockholder Matters Clearway Energy LLC Ownership</w:t>
      </w:r>
    </w:p>
    <w:p>
      <w:pPr>
        <w:spacing w:after="0" w:line="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2025, CEG owned 42,738,750 of the Company’s Class B units and 41,576,142 of the Company’s Class D units, and Clearway, Inc. owned 34,613,853 of the Company’s Class A units and 84,844,929 of the Company’s Class C units. As of December 31, 2025, Clearway, Inc., through its holdings of Class A units and Class C units, owned a 58.62% economic interest in the Company. Clearway, Inc. consolidates the results of the Company through its controlling interest as sole managing member. As of December 31, 2025, CEG, through its holdings of Class B units and Class D units, owned a 41.38% economic interest in the Company.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Clearway, Inc. Ownership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Ownership of Executive Officers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following table sets forth information concerning beneficial ownership of Clearway, Inc.’s Class A and Class C common stock and combined voting power of Class A, Class B, Class C and Class D common stock for: (a) each NEO and (b) all executive officers as a group. The percentage of beneficial ownership is based on 34,613,853 shares of Class A common stock outstanding as of January 31, 2026, and 86,290,173 shares of Class C common stock outstanding as of January 31, 2026, and percentage of combined voting power is based on 78,631,266 votes represented by Clearway, Inc.’s outstanding Class A, Class B, Class C and Class D common stock in the aggregate as of January 31, 2026. The percentage of beneficial ownership and the percentage of combined voting power also include any shares that such person has the right to acquire within 60 days of January 31, 2026. Unless otherwise indicated, each person has sole voting and dispositive power with respect to the shares set forth in the following table.</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address of the beneficial owners is Clearway, Inc., 300 Carnegie Center, Suite 300, Princeton, New Jersey 08540.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w:t>
            </w:r>
          </w:p>
        </w:tc>
      </w:tr>
      <w:tr>
        <w:trPr>
          <w:trHeight w:val="150"/>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360" w:type="dxa"/>
            <w:vAlign w:val="bottom"/>
            <w:tcBorders>
              <w:bottom w:val="single" w:sz="8" w:color="auto"/>
            </w:tcBorders>
            <w:gridSpan w:val="2"/>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3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Class C Common Stock</w:t>
            </w:r>
          </w:p>
        </w:tc>
        <w:tc>
          <w:tcPr>
            <w:tcW w:w="200" w:type="dxa"/>
            <w:vAlign w:val="bottom"/>
            <w:tcBorders>
              <w:bottom w:val="single" w:sz="8" w:color="auto"/>
            </w:tcBorders>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17"/>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60" w:type="dxa"/>
            <w:vAlign w:val="bottom"/>
          </w:tcPr>
          <w:p>
            <w:pPr>
              <w:jc w:val="right"/>
              <w:ind w:right="74"/>
              <w:spacing w:after="0" w:line="118" w:lineRule="exact"/>
              <w:rPr>
                <w:sz w:val="20"/>
                <w:szCs w:val="20"/>
                <w:color w:val="auto"/>
              </w:rPr>
            </w:pPr>
            <w:r>
              <w:rPr>
                <w:rFonts w:ascii="Times New Roman" w:cs="Times New Roman" w:eastAsia="Times New Roman" w:hAnsi="Times New Roman"/>
                <w:sz w:val="11"/>
                <w:szCs w:val="11"/>
                <w:b w:val="1"/>
                <w:bCs w:val="1"/>
                <w:color w:val="auto"/>
              </w:rPr>
              <w:t>% of Class A</w:t>
            </w: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 of Class C</w:t>
            </w:r>
          </w:p>
        </w:tc>
        <w:tc>
          <w:tcPr>
            <w:tcW w:w="20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Combined</w:t>
            </w:r>
          </w:p>
        </w:tc>
      </w:tr>
      <w:tr>
        <w:trPr>
          <w:trHeight w:val="137"/>
        </w:trPr>
        <w:tc>
          <w:tcPr>
            <w:tcW w:w="20" w:type="dxa"/>
            <w:vAlign w:val="bottom"/>
          </w:tcPr>
          <w:p>
            <w:pPr>
              <w:spacing w:after="0"/>
              <w:rPr>
                <w:sz w:val="11"/>
                <w:szCs w:val="1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Executive Officers</w:t>
            </w:r>
          </w:p>
        </w:tc>
        <w:tc>
          <w:tcPr>
            <w:tcW w:w="1000" w:type="dxa"/>
            <w:vAlign w:val="bottom"/>
          </w:tcPr>
          <w:p>
            <w:pPr>
              <w:ind w:left="420"/>
              <w:spacing w:after="0" w:line="137" w:lineRule="exact"/>
              <w:rPr>
                <w:sz w:val="20"/>
                <w:szCs w:val="20"/>
                <w:color w:val="auto"/>
              </w:rPr>
            </w:pPr>
            <w:r>
              <w:rPr>
                <w:rFonts w:ascii="Times New Roman" w:cs="Times New Roman" w:eastAsia="Times New Roman" w:hAnsi="Times New Roman"/>
                <w:sz w:val="11"/>
                <w:szCs w:val="11"/>
                <w:b w:val="1"/>
                <w:bCs w:val="1"/>
                <w:color w:val="auto"/>
              </w:rPr>
              <w:t>Number</w:t>
            </w:r>
            <w:r>
              <w:rPr>
                <w:rFonts w:ascii="Times New Roman" w:cs="Times New Roman" w:eastAsia="Times New Roman" w:hAnsi="Times New Roman"/>
                <w:sz w:val="14"/>
                <w:szCs w:val="14"/>
                <w:b w:val="1"/>
                <w:bCs w:val="1"/>
                <w:color w:val="auto"/>
                <w:vertAlign w:val="superscript"/>
              </w:rPr>
              <w:t>(1)</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20" w:type="dxa"/>
            <w:vAlign w:val="bottom"/>
          </w:tcPr>
          <w:p>
            <w:pPr>
              <w:spacing w:after="0"/>
              <w:rPr>
                <w:sz w:val="11"/>
                <w:szCs w:val="11"/>
                <w:color w:val="auto"/>
              </w:rPr>
            </w:pPr>
          </w:p>
        </w:tc>
        <w:tc>
          <w:tcPr>
            <w:tcW w:w="1180" w:type="dxa"/>
            <w:vAlign w:val="bottom"/>
          </w:tcPr>
          <w:p>
            <w:pPr>
              <w:jc w:val="right"/>
              <w:ind w:right="434"/>
              <w:spacing w:after="0" w:line="137" w:lineRule="exact"/>
              <w:rPr>
                <w:sz w:val="20"/>
                <w:szCs w:val="20"/>
                <w:color w:val="auto"/>
              </w:rPr>
            </w:pPr>
            <w:r>
              <w:rPr>
                <w:rFonts w:ascii="Times New Roman" w:cs="Times New Roman" w:eastAsia="Times New Roman" w:hAnsi="Times New Roman"/>
                <w:sz w:val="11"/>
                <w:szCs w:val="11"/>
                <w:b w:val="1"/>
                <w:bCs w:val="1"/>
                <w:color w:val="auto"/>
              </w:rPr>
              <w:t>Number</w:t>
            </w:r>
            <w:r>
              <w:rPr>
                <w:rFonts w:ascii="Times New Roman" w:cs="Times New Roman" w:eastAsia="Times New Roman" w:hAnsi="Times New Roman"/>
                <w:sz w:val="14"/>
                <w:szCs w:val="14"/>
                <w:b w:val="1"/>
                <w:bCs w:val="1"/>
                <w:color w:val="auto"/>
                <w:vertAlign w:val="superscript"/>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1"/>
                <w:szCs w:val="11"/>
                <w:color w:val="auto"/>
              </w:rPr>
            </w:pPr>
          </w:p>
        </w:tc>
        <w:tc>
          <w:tcPr>
            <w:tcW w:w="1260" w:type="dxa"/>
            <w:vAlign w:val="bottom"/>
          </w:tcPr>
          <w:p>
            <w:pPr>
              <w:jc w:val="center"/>
              <w:spacing w:after="0" w:line="137" w:lineRule="exact"/>
              <w:rPr>
                <w:sz w:val="20"/>
                <w:szCs w:val="20"/>
                <w:color w:val="auto"/>
              </w:rPr>
            </w:pPr>
            <w:r>
              <w:rPr>
                <w:rFonts w:ascii="Times New Roman" w:cs="Times New Roman" w:eastAsia="Times New Roman" w:hAnsi="Times New Roman"/>
                <w:sz w:val="11"/>
                <w:szCs w:val="11"/>
                <w:b w:val="1"/>
                <w:bCs w:val="1"/>
                <w:color w:val="auto"/>
                <w:w w:val="98"/>
              </w:rPr>
              <w:t>Voting Power</w:t>
            </w:r>
            <w:r>
              <w:rPr>
                <w:rFonts w:ascii="Times New Roman" w:cs="Times New Roman" w:eastAsia="Times New Roman" w:hAnsi="Times New Roman"/>
                <w:sz w:val="14"/>
                <w:szCs w:val="14"/>
                <w:b w:val="1"/>
                <w:bCs w:val="1"/>
                <w:color w:val="auto"/>
                <w:w w:val="98"/>
                <w:vertAlign w:val="superscript"/>
              </w:rPr>
              <w:t>(2)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Craig Cornelius</w:t>
            </w:r>
          </w:p>
        </w:tc>
        <w:tc>
          <w:tcPr>
            <w:tcW w:w="10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94"/>
              <w:spacing w:after="0" w:line="171" w:lineRule="exact"/>
              <w:rPr>
                <w:sz w:val="20"/>
                <w:szCs w:val="20"/>
                <w:color w:val="auto"/>
              </w:rPr>
            </w:pPr>
            <w:r>
              <w:rPr>
                <w:rFonts w:ascii="Times New Roman" w:cs="Times New Roman" w:eastAsia="Times New Roman" w:hAnsi="Times New Roman"/>
                <w:sz w:val="14"/>
                <w:szCs w:val="14"/>
                <w:color w:val="auto"/>
              </w:rPr>
              <w:t>270,512</w:t>
            </w:r>
            <w:r>
              <w:rPr>
                <w:rFonts w:ascii="Times New Roman" w:cs="Times New Roman" w:eastAsia="Times New Roman" w:hAnsi="Times New Roman"/>
                <w:sz w:val="18"/>
                <w:szCs w:val="18"/>
                <w:color w:val="auto"/>
                <w:vertAlign w:val="superscript"/>
              </w:rPr>
              <w:t>(3)</w:t>
            </w: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Sarah Rubenstein</w:t>
            </w:r>
          </w:p>
        </w:tc>
        <w:tc>
          <w:tcPr>
            <w:tcW w:w="1000" w:type="dxa"/>
            <w:vAlign w:val="bottom"/>
          </w:tcPr>
          <w:p>
            <w:pPr>
              <w:spacing w:after="0"/>
              <w:rPr>
                <w:sz w:val="15"/>
                <w:szCs w:val="15"/>
                <w:color w:val="auto"/>
              </w:rPr>
            </w:pPr>
          </w:p>
        </w:tc>
        <w:tc>
          <w:tcPr>
            <w:tcW w:w="1360" w:type="dxa"/>
            <w:vAlign w:val="bottom"/>
          </w:tcPr>
          <w:p>
            <w:pPr>
              <w:jc w:val="right"/>
              <w:ind w:right="994"/>
              <w:spacing w:after="0"/>
              <w:rPr>
                <w:sz w:val="20"/>
                <w:szCs w:val="20"/>
                <w:color w:val="auto"/>
              </w:rPr>
            </w:pPr>
            <w:r>
              <w:rPr>
                <w:rFonts w:ascii="Times New Roman" w:cs="Times New Roman" w:eastAsia="Times New Roman" w:hAnsi="Times New Roman"/>
                <w:sz w:val="14"/>
                <w:szCs w:val="14"/>
                <w:color w:val="auto"/>
              </w:rPr>
              <w:t>380</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4"/>
                <w:szCs w:val="14"/>
                <w:color w:val="auto"/>
              </w:rPr>
              <w:t>30,949</w:t>
            </w:r>
            <w:r>
              <w:rPr>
                <w:rFonts w:ascii="Times New Roman" w:cs="Times New Roman" w:eastAsia="Times New Roman" w:hAnsi="Times New Roman"/>
                <w:sz w:val="18"/>
                <w:szCs w:val="18"/>
                <w:color w:val="auto"/>
                <w:vertAlign w:val="superscript"/>
              </w:rPr>
              <w:t>(4)</w:t>
            </w:r>
          </w:p>
        </w:tc>
        <w:tc>
          <w:tcPr>
            <w:tcW w:w="10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P. Malcarney</w:t>
            </w:r>
          </w:p>
        </w:tc>
        <w:tc>
          <w:tcPr>
            <w:tcW w:w="10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4"/>
                <w:szCs w:val="14"/>
                <w:color w:val="auto"/>
              </w:rPr>
              <w:t>600</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94"/>
              <w:spacing w:after="0" w:line="181" w:lineRule="exact"/>
              <w:rPr>
                <w:sz w:val="20"/>
                <w:szCs w:val="20"/>
                <w:color w:val="auto"/>
              </w:rPr>
            </w:pPr>
            <w:r>
              <w:rPr>
                <w:rFonts w:ascii="Times New Roman" w:cs="Times New Roman" w:eastAsia="Times New Roman" w:hAnsi="Times New Roman"/>
                <w:sz w:val="14"/>
                <w:szCs w:val="14"/>
                <w:color w:val="auto"/>
              </w:rPr>
              <w:t>74,468</w:t>
            </w:r>
            <w:r>
              <w:rPr>
                <w:rFonts w:ascii="Times New Roman" w:cs="Times New Roman" w:eastAsia="Times New Roman" w:hAnsi="Times New Roman"/>
                <w:sz w:val="18"/>
                <w:szCs w:val="18"/>
                <w:color w:val="auto"/>
                <w:vertAlign w:val="superscript"/>
              </w:rPr>
              <w:t>(5)</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20" w:type="dxa"/>
            <w:vAlign w:val="bottom"/>
          </w:tcPr>
          <w:p>
            <w:pPr>
              <w:spacing w:after="0"/>
              <w:rPr>
                <w:sz w:val="21"/>
                <w:szCs w:val="21"/>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All executive officers as a group (three people)</w:t>
            </w:r>
          </w:p>
        </w:tc>
        <w:tc>
          <w:tcPr>
            <w:tcW w:w="1000" w:type="dxa"/>
            <w:vAlign w:val="bottom"/>
          </w:tcPr>
          <w:p>
            <w:pPr>
              <w:spacing w:after="0"/>
              <w:rPr>
                <w:sz w:val="21"/>
                <w:szCs w:val="21"/>
                <w:color w:val="auto"/>
              </w:rPr>
            </w:pPr>
          </w:p>
        </w:tc>
        <w:tc>
          <w:tcPr>
            <w:tcW w:w="1360" w:type="dxa"/>
            <w:vAlign w:val="bottom"/>
          </w:tcPr>
          <w:p>
            <w:pPr>
              <w:jc w:val="right"/>
              <w:ind w:right="994"/>
              <w:spacing w:after="0"/>
              <w:rPr>
                <w:sz w:val="20"/>
                <w:szCs w:val="20"/>
                <w:color w:val="auto"/>
              </w:rPr>
            </w:pPr>
            <w:r>
              <w:rPr>
                <w:rFonts w:ascii="Times New Roman" w:cs="Times New Roman" w:eastAsia="Times New Roman" w:hAnsi="Times New Roman"/>
                <w:sz w:val="14"/>
                <w:szCs w:val="14"/>
                <w:color w:val="auto"/>
              </w:rPr>
              <w:t>980</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375,929</w:t>
            </w:r>
            <w:r>
              <w:rPr>
                <w:rFonts w:ascii="Times New Roman" w:cs="Times New Roman" w:eastAsia="Times New Roman" w:hAnsi="Times New Roman"/>
                <w:sz w:val="18"/>
                <w:szCs w:val="18"/>
                <w:color w:val="auto"/>
                <w:vertAlign w:val="superscript"/>
              </w:rPr>
              <w:t>(6)</w:t>
            </w:r>
          </w:p>
        </w:tc>
        <w:tc>
          <w:tcPr>
            <w:tcW w:w="10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138811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 Less than one percent of outstanding Class A common stock, Class C common stock or combined voting power, as applicable.</w:t>
      </w:r>
    </w:p>
    <w:p>
      <w:pPr>
        <w:spacing w:after="0" w:line="33" w:lineRule="exact"/>
        <w:rPr>
          <w:sz w:val="20"/>
          <w:szCs w:val="20"/>
          <w:color w:val="auto"/>
        </w:rPr>
      </w:pPr>
    </w:p>
    <w:p>
      <w:pPr>
        <w:ind w:left="60" w:firstLine="9"/>
        <w:spacing w:after="0" w:line="288" w:lineRule="auto"/>
        <w:tabs>
          <w:tab w:leader="none" w:pos="174" w:val="left"/>
        </w:tabs>
        <w:numPr>
          <w:ilvl w:val="0"/>
          <w:numId w:val="5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4" w:lineRule="exact"/>
        <w:rPr>
          <w:rFonts w:ascii="Times New Roman" w:cs="Times New Roman" w:eastAsia="Times New Roman" w:hAnsi="Times New Roman"/>
          <w:sz w:val="7"/>
          <w:szCs w:val="7"/>
          <w:color w:val="auto"/>
        </w:rPr>
      </w:pPr>
    </w:p>
    <w:p>
      <w:pPr>
        <w:jc w:val="both"/>
        <w:ind w:left="60" w:firstLine="9"/>
        <w:spacing w:after="0" w:line="261" w:lineRule="auto"/>
        <w:tabs>
          <w:tab w:leader="none" w:pos="174" w:val="left"/>
        </w:tabs>
        <w:numPr>
          <w:ilvl w:val="0"/>
          <w:numId w:val="5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Represents the voting power of all of the classes of Clearway, Inc.’s common stock together as a single class. Each holder of Class A or Class B common stock is entitled to one vote for each share held. Each holder of Class C or Class D common stock is entitled to 1/100th of one vote for each share held. Holders of shares of Clearway, Inc.’s Class A, Class B, Class C and Class D common stock vote together as a single class on all matters presented to its stockholders for their vote or approval, except as otherwise provided by applicable law.</w:t>
      </w:r>
    </w:p>
    <w:p>
      <w:pPr>
        <w:spacing w:after="0" w:line="147" w:lineRule="exact"/>
        <w:rPr>
          <w:rFonts w:ascii="Times New Roman" w:cs="Times New Roman" w:eastAsia="Times New Roman" w:hAnsi="Times New Roman"/>
          <w:sz w:val="13"/>
          <w:szCs w:val="13"/>
          <w:color w:val="auto"/>
          <w:vertAlign w:val="superscript"/>
        </w:rPr>
      </w:pPr>
    </w:p>
    <w:p>
      <w:pPr>
        <w:jc w:val="both"/>
        <w:ind w:left="60" w:firstLine="9"/>
        <w:spacing w:after="0" w:line="269" w:lineRule="auto"/>
        <w:tabs>
          <w:tab w:leader="none" w:pos="174" w:val="left"/>
        </w:tabs>
        <w:numPr>
          <w:ilvl w:val="0"/>
          <w:numId w:val="5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374 dividend equivalent rights (DERs) to be paid in Class C common stock. Excludes 49,373 restricted stock units (RSUs), 12,827 DERs and [000] relative performance stock units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47" w:lineRule="exact"/>
        <w:rPr>
          <w:rFonts w:ascii="Times New Roman" w:cs="Times New Roman" w:eastAsia="Times New Roman" w:hAnsi="Times New Roman"/>
          <w:sz w:val="13"/>
          <w:szCs w:val="13"/>
          <w:color w:val="auto"/>
          <w:vertAlign w:val="superscript"/>
        </w:rPr>
      </w:pPr>
    </w:p>
    <w:p>
      <w:pPr>
        <w:jc w:val="both"/>
        <w:ind w:left="60" w:firstLine="9"/>
        <w:spacing w:after="0" w:line="269" w:lineRule="auto"/>
        <w:tabs>
          <w:tab w:leader="none" w:pos="174" w:val="left"/>
        </w:tabs>
        <w:numPr>
          <w:ilvl w:val="0"/>
          <w:numId w:val="5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515 dividend equivalent rights (DERs) to be paid in Class C common stock. Excludes 14,426 restricted stock units (RSUs), 4,936 DERs and 30,369 relative performance stock units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37" w:lineRule="exact"/>
        <w:rPr>
          <w:rFonts w:ascii="Times New Roman" w:cs="Times New Roman" w:eastAsia="Times New Roman" w:hAnsi="Times New Roman"/>
          <w:sz w:val="13"/>
          <w:szCs w:val="13"/>
          <w:color w:val="auto"/>
          <w:vertAlign w:val="superscript"/>
        </w:rPr>
      </w:pPr>
    </w:p>
    <w:p>
      <w:pPr>
        <w:jc w:val="both"/>
        <w:ind w:left="60" w:firstLine="9"/>
        <w:spacing w:after="0" w:line="271" w:lineRule="auto"/>
        <w:tabs>
          <w:tab w:leader="none" w:pos="174" w:val="left"/>
        </w:tabs>
        <w:numPr>
          <w:ilvl w:val="0"/>
          <w:numId w:val="5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Includes 560 dividend equivalent rights (DERs) to be paid in Class C common stock. Excludes 7,182 restricted stock units (RSUs), 4,733 DERs and 38,872 relative performance stock units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5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Consists of the total holdings of all executive officers as a group.</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color w:val="auto"/>
        </w:rPr>
        <w:t>Item 13 — Certain Relationships and Related Transactions, and Director Independence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Relationship with CEG and Clearway, Inc.</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CEG owns all of Clearway, Inc.’s outstanding Class B common stock and Class D common stock, which represents, in the aggregate, 54.89% of the voting interest in Clearway, Inc.’s stock, and receives distributions from the Company through its ownership of the Company’s Class B and Class D units. Holders of Clearway, Inc.’s Class A common stock and Class C common stock hold, in the aggregate, the remaining 45.11% of the voting interest in Clearway, Inc.’s stock. Each holder of Clearway, Inc.’s Class A or Class B common stock is entitled to one vote for each share held. Each holder of Clearway, Inc.’s Class C or Class D common stock is entitled to 1/100th of one vote for each share held. The holders of Clearway, Inc.’s outstanding shares of Class A and Class C common stock are entitled to dividends as declared. Clearway, Inc., through its holdings of the Company’s Class A units and Class C units, owns a 58.62% economic interest in the Company. CEG, through its holdings of the Company’s Class B units and Class D units, owns a 41.38% economic interest in the Company.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CEG Master Services Agreement</w:t>
      </w:r>
    </w:p>
    <w:p>
      <w:pPr>
        <w:spacing w:after="0" w:line="13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The Company, along with Clearway, Inc. and certain of its subsidiaries,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effective January 1, 2025, accounting, internal audit, tax, legal and treasury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Effective January 1, 2025 the Company directly bears all labor costs for certain employees of CEG who perform work on behalf of the Company</w:t>
      </w: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2025, the Company paid approximately $23,760,000 under the CEG Master Services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Committed Investments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assets listed below represent the Company’s currently committed investments in facilities with CEG: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Technology</w:t>
            </w:r>
          </w:p>
        </w:tc>
        <w:tc>
          <w:tcPr>
            <w:tcW w:w="228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Gross Capacity (MW)</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State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Estimated Funding</w:t>
            </w:r>
          </w:p>
        </w:tc>
      </w:tr>
      <w:tr>
        <w:trPr>
          <w:trHeight w:val="173"/>
        </w:trPr>
        <w:tc>
          <w:tcPr>
            <w:tcW w:w="3760" w:type="dxa"/>
            <w:vAlign w:val="bottom"/>
            <w:tcBorders>
              <w:top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4"/>
                <w:szCs w:val="14"/>
                <w:color w:val="auto"/>
              </w:rPr>
              <w:t xml:space="preserve">Deriva Solar Portfolio </w:t>
            </w:r>
            <w:r>
              <w:rPr>
                <w:rFonts w:ascii="Times New Roman" w:cs="Times New Roman" w:eastAsia="Times New Roman" w:hAnsi="Times New Roman"/>
                <w:sz w:val="18"/>
                <w:szCs w:val="18"/>
                <w:color w:val="auto"/>
                <w:vertAlign w:val="superscript"/>
              </w:rPr>
              <w:t>(a) (b)</w:t>
            </w:r>
          </w:p>
        </w:tc>
        <w:tc>
          <w:tcPr>
            <w:tcW w:w="8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Distributed Generation</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1H26</w:t>
            </w:r>
          </w:p>
        </w:tc>
      </w:tr>
      <w:tr>
        <w:trPr>
          <w:trHeight w:val="18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Goat Mountain Repower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Wind</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TX</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2H27</w:t>
            </w:r>
          </w:p>
        </w:tc>
      </w:tr>
      <w:tr>
        <w:trPr>
          <w:trHeight w:val="18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Mt. Storm Repower</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Wind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WV</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2H26</w:t>
            </w:r>
          </w:p>
        </w:tc>
      </w:tr>
      <w:tr>
        <w:trPr>
          <w:trHeight w:val="18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Rosamond South II</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BESS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CA</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2H26</w:t>
            </w:r>
          </w:p>
        </w:tc>
      </w:tr>
      <w:tr>
        <w:trPr>
          <w:trHeight w:val="180"/>
        </w:trPr>
        <w:tc>
          <w:tcPr>
            <w:tcW w:w="38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San Juan Mesa Repower </w:t>
            </w:r>
            <w:r>
              <w:rPr>
                <w:rFonts w:ascii="Times New Roman" w:cs="Times New Roman" w:eastAsia="Times New Roman" w:hAnsi="Times New Roman"/>
                <w:sz w:val="18"/>
                <w:szCs w:val="18"/>
                <w:color w:val="auto"/>
                <w:vertAlign w:val="superscript"/>
              </w:rPr>
              <w:t>(b)</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Wind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NM</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2H27</w:t>
            </w:r>
          </w:p>
        </w:tc>
      </w:tr>
      <w:tr>
        <w:trPr>
          <w:trHeight w:val="18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Spindle</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BESS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2H26</w:t>
            </w:r>
          </w:p>
        </w:tc>
      </w:tr>
      <w:tr>
        <w:trPr>
          <w:trHeight w:val="18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Tuolumne Repower</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Wind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WA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2H26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Third-party acquisition of operating facilities.</w:t>
      </w:r>
    </w:p>
    <w:p>
      <w:pPr>
        <w:ind w:left="60"/>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3"/>
          <w:szCs w:val="13"/>
          <w:color w:val="auto"/>
        </w:rPr>
        <w:t xml:space="preserve"> Included in a co-investment partnership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Drop Down Transactions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Pine Forest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June 10, 2025, the Company, through its indirect subsidiary, Pine Forest CE Class A Owner LLC, acquired the Class A membership interests in Pine Forest TargetCo, a partnership and the indirect owner of Pine Forest, a 300 MW solar facility that is paired with a 200 MW BESS facility located in Hopkins County, Texas, from Clearway Renew for initial cash consideration of $18 million. Simultaneously, a third-party cash equity investor acquired the Class B membership interests in Pine Forest TargetCo from Clearway Renew for initial cash consideration of $36 million. Also on June 10, 2025, Clearway, Inc., through its indirect subsidiary, Pine Forest TE Class A, contributed $9 million to acquire the Class A membership interests in Pine Forest TE HoldCo LLC.</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In connection with the Pine Forest Drop Down, the Company assumed non-recourse facility-level debt, which included a $103 million construction loan, a $102 million cash equity bridge loan, a $41 million tax equity bridge loan and a $275 million tax credit transfer bridge loan, offset by $6 million in unamortized debt issuance costs. A partial payment of $54 million was made on the cash equity bridge loan at acquisition date utilizing all of the proceeds from the Company, which were contributed back to the Company by CEG, and the third-party cash equity investor related to the Pine Forest TargetCo acquisition. On December 17, 2025, when Pine Forest reached substantial completion, the Company paid $50 million to Clearway Renew as an additional purchase price, the third-party cash equity investor contributed $144 million, Clearway, Inc., through Pine Forest TE Class A, contributed an additional $38 million for its Class A membership interests in Pine Forest TE HoldCo LLC and CEG contributed $49 million, which were utilized, along with the $9 million previously held in escrow, to repay the $100 million cash equity bridge loan, to repay the $41 million tax equity bridge loan, to partially repay $44 million of the tax credit transfer bridge loan, to fund $39 million in construction completion reserves and to pay $15 million in associated fees, of which $7 million related to construction management agreement, or CMA, fees paid to CEG. The Company’s total capital investment in Pine Forest TargetCo was $68 million.</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January 2026, the Company repaid the $231 million outstanding on the tax credit transfer bridge loan utilizing the proceeds received from the sale of transferable ITCs and distributed the remaining $51 million to CEG.</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South II and Spindle</w:t>
      </w:r>
    </w:p>
    <w:p>
      <w:pPr>
        <w:spacing w:after="0" w:line="12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November 24, 2025, the Company, through an indirect subsidiary, entered into an agreement with Clearway Renew to acquire the Class A membership interests in Spindle, a 199 MW BESS facility currently under construction in Weld County, Colorado, and Rosamond South II, a 92 MW BESS facility currently under construction in Kern County, California, for $93 million in cash consideration, subject to closing adjustments.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Honeycomb</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October 15, 2025, the Company, through its indirect subsidiary, Honeycomb 1 Holdco LLC, acquired Honeycomb TargetCo, the indirect owner of the Honeycomb Portfolio, which includes four BESS facilities under construction in Beaver County and Iron County, Utah representing 320 MW of capacity, from Clearway Renew for initial cash consideration of $16 million. At substantial completion, which is expected to occur in the first half of 2026, the Company estimates it will pay an additional $62 million to Clearway Renew.</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connection with the Honeycomb Drop Down, the Company assumed non-recourse facility-level debt, which included a $218 million construction loan that converts to a term loan at substantial completion, which is expected to occur in the first half of 2026, and a $234 million tax equity bridge loan, offset by $9 million in unamortized debt issuance costs. The tax equity bridge loan will be repaid at substantial completion with the final proceeds received from the tax equity investor, as well as the Company’s additional purchase price, along with the $59 million that was contributed into escrow by the tax equity investor at acquisition date. The Company estimates that its total capital investment in Honeycomb TargetCo will be $78 million, excluding the impact of any closing adjustments noted in the purchase agreement.</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Mt. Storm</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October 2, 2025, the Company, through its indirect subsidiary, WV Wind Holdco LLC, sold 100% of its membership interests in Mount Storm Wind LLC, which owns Mt. Storm, to Clearway Renew for $152 million in cash consideration in order for Clearway Renew to repower the facility.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Daggett 1</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April 29, 2025, the Company, through its indirect subsidiary, LV-Daggett Parent Holdco LLC, acquired Daggett 1 Class B, the indirect owner of Daggett 1, a 114 MW BESS facility located in San Bernardino County, California, from Clearway Renew for initial cash consideration of $11 million. In connection with the Daggett 1 Drop Down, the Company assumed non-recourse facility-level debt, which included a $92 million construction loan and a $131 million tax equity bridge loan, offset by $3 million in unamortized debt issuance costs.</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September 19, 2025, when Daggett 1 reached substantial completion, the Company paid $42 million to Clearway Renew as additional purchase price, and the tax equity investor contributed an additional $108 million, which was utilized, along with the $38 million previously held in escrow and $31 million in construction loan proceeds, to repay the $131 million tax equity bridge loan, to fund $6 million in construction completion reserves and to pay $7 million in associated fees, of which $7 million related to CMA fees paid to CEG, with the remaining $33 million distributed to CEG. Subsequent to the acquisition during 2025, the Company received $3 million in contributions from CEG to pay for construction completion expenses. On October 15, 2025, the Company paid $4 million to Clearway Renew as a final purchase price adjustment. The Company’s total capital investment in Daggett 1 Class B was $57 million.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Luna Valley</w:t>
      </w:r>
    </w:p>
    <w:p>
      <w:pPr>
        <w:sectPr>
          <w:pgSz w:w="11900" w:h="16838" w:orient="portrait"/>
          <w:cols w:equalWidth="0" w:num="1">
            <w:col w:w="11280"/>
          </w:cols>
          <w:pgMar w:left="300" w:top="728" w:right="319" w:bottom="0" w:gutter="0" w:footer="0" w:header="0"/>
        </w:sectPr>
      </w:pPr>
    </w:p>
    <w:bookmarkStart w:id="86" w:name="page87"/>
    <w:bookmarkEnd w:id="86"/>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On April 29, 2025, the Company, through its indirect subsidiary, LV-Daggett Parent Holdco LLC, acquired Luna Valley Class B, the indirect owner of Luna Valley, a 200 MW solar facility located in Fresno County, California, from Clearway Renew for initial cash consideration of $18 million. In connection with the Luna Valley Drop Down, the Company assumed non-recourse facility-level debt, which included a $144 million construction loan, a $64 million cash equity bridge loan and a $144 million tax equity bridge loan, offset by $4 million in unamortized debt issuance costs. A partial payment of $18 million was made on the cash equity bridge loan at acquisition date utilizing all of the proceeds from the Company, which were contributed back to the Company by CEG.</w:t>
      </w:r>
    </w:p>
    <w:p>
      <w:pPr>
        <w:spacing w:after="0" w:line="27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September 4, 2025, when the facility reached substantial completion, the Company paid $72 million to Clearway Renew as additional purchase price, the tax equity investor contributed an additional $114 million and CEG contributed $50 million, which were utilized, along with the $29 million previously held in escrow and $28 million in construction loan proceeds, to repay the $46 million cash equity bridge loan, to repay the $144 million tax equity bridge loan, to fund $22 million in construction completion reserves and to pay $9 million in associated fees, of which $5 million related to CMA fees paid to CEG. On October 15, 2025, the Company paid $29 million to Clearway Renew as a final purchase price adjustment. The Company's total capital investment in Luna Valley Class B was $119 million.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South I</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March 20, 2025, the Company, through its indirect subsidiary, Rosamond South Investment LLC, acquired the Class A membership interests in Rosie South TargetCo, a partnership and the indirect owner of the Rosamond South I solar and BESS facility, from Clearway Renew for initial cash consideration of $4 million. Simultaneously, a third-party cash equity investor acquired the Class B membership interests in Rosie South TargetCo from Clearway Renew for initial cash consideration of $10 million. In connection with the Rosamond South I Drop Down, the Company assumed non-recourse facility-level debt, which included a $179 million construction loan, a $6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August 13, 2025 when the facility reached substantial completion, the Company paid $29 million to Clearway Renew as additional purchase price and the third-party cash equity investor contributed an additional $41 million and the tax equity investor contributed an additional $226 million, which were utilized, along with the $58 million previously held in escrow and $13 million in construction loan proceeds, to repay the $276 million tax equity bridge loan and to pay $9 million in associated fees, of which $6 million related to CMA fees paid to CEG, with the remaining $53 million distributed to CEG. Subsequent to the acquisition during 2025, the Company received $46 million in contributions from CEG to pay for construction completion expenses. The Company’s total capital investment in Rosie South TargetCo was $33 million.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Dan’s Mountain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November 18, 2024, the Company, through its indirect subsidiary, Dan’s Mountain Parent Holdco LLC, acquired the Class A membership interests in Dan’s Mountain TargetCo, a partnership and the indirect owner of Dan’s Mountain, a 55 MW wind facility located in Allegany County, Maryland, from Clearway Renew for initial cash consideration of $7 million. In connection with the Dan’s Mountain Drop Down, the Company assumed non-recourse facility-level debt, which included a cash equity bridge loan and a tax equity bridge loan.</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May 21, 2025, when the facility reached substantial completion, the Company paid $36 million to Clearway Renew as additional purchase price.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third-party cash equity and tax equity investors, along with the Company’s entire additional purchase price, which was contributed back to the Company by CEG, and the $18 million previously held in escrow, to repay the $91 million tax equity bridge loan, to repay the $70 million cash equity bridge loan and to pay $2 million in associated fees with the remaining $26 million distributed to CEG. The Company also received $16 million in contributions from CEG to pay for construction completion expenses during 2025 and paid $3 million to CEG for CMA fees. The Company’s total capital investment in Dan’s Mountain TargetCo was $43 million.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Daggett 2 and 3</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2025, the Company distributed $4 million to CEG related to the reimbursement of Daggett 2 and 3 revenue earned during construction.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Central</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2025, the Company distributed $3 million to CEG related to the refunds received by the Rosamond Central solar facility for construction costs that were previously incurred by CEG.</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Texas Solar Nova 1 and 2</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2025, the Company distributed $3 million to CEG related to the reimbursement of Texas Solar Nova 1 and 2 revenue earned during construction.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Victory Pass and Arica</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2025, the Company received $16 million in contributions from CEG related to purchase price adjustments that the Company subsequently paid to the third-party cash equity investor in the Victory Pass and Arica solar and BESS facilities.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with Clearway Energy Finance Inc.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December 17, 2025, in connection with the Pine Forest solar and BESS facility reaching substantial completion, the Company issued a loan to Clearway Energy Finance Inc., a subsidiary of Clearway, Inc., in the amount of $22 million in order to partially fund Pine Forest TE Class A’s additional contribution. The loan bears interest at a fixed rate of 6% and matures on December 17, 2045. As of December 31, 2025, the full $22 million remained outstanding.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Agreements</w:t>
      </w:r>
    </w:p>
    <w:p>
      <w:pPr>
        <w:spacing w:after="0" w:line="107" w:lineRule="exact"/>
        <w:rPr>
          <w:sz w:val="20"/>
          <w:szCs w:val="20"/>
          <w:color w:val="auto"/>
        </w:rPr>
      </w:pPr>
    </w:p>
    <w:p>
      <w:pPr>
        <w:jc w:val="both"/>
        <w:ind w:firstLine="318"/>
        <w:spacing w:after="0" w:line="182" w:lineRule="exact"/>
        <w:rPr>
          <w:sz w:val="20"/>
          <w:szCs w:val="20"/>
          <w:color w:val="auto"/>
        </w:rPr>
      </w:pPr>
      <w:r>
        <w:rPr>
          <w:rFonts w:ascii="Times New Roman" w:cs="Times New Roman" w:eastAsia="Times New Roman" w:hAnsi="Times New Roman"/>
          <w:sz w:val="14"/>
          <w:szCs w:val="14"/>
          <w:color w:val="auto"/>
        </w:rPr>
        <w:t>CEG provides operations and maintenance, or O&amp;M, and day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operational support to the Company’s utility scale solar and wind facilities in accordance with O&amp;M agreements with the Company. Each of the counterparties to the O&amp;M agreements is an affiliate of CEG. The O&amp;M agreements for which the amount paid to CEG exceeded $120,000 during the year ended December 31, 2025 are described in the table below. Under these O&amp;M agreements, the Company generally pays an annual or monthly fee, which may be subject to annual adjustment, plus any reimbursable expenses.</w:t>
      </w:r>
    </w:p>
    <w:p>
      <w:pPr>
        <w:sectPr>
          <w:pgSz w:w="11900" w:h="16838" w:orient="portrait"/>
          <w:cols w:equalWidth="0" w:num="1">
            <w:col w:w="11280"/>
          </w:cols>
          <w:pgMar w:left="300" w:top="125"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49"/>
        </w:trPr>
        <w:tc>
          <w:tcPr>
            <w:tcW w:w="390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536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202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Approximate Amount</w:t>
            </w:r>
          </w:p>
        </w:tc>
        <w:tc>
          <w:tcPr>
            <w:tcW w:w="0" w:type="dxa"/>
            <w:vAlign w:val="bottom"/>
          </w:tcPr>
          <w:p>
            <w:pPr>
              <w:spacing w:after="0"/>
              <w:rPr>
                <w:sz w:val="1"/>
                <w:szCs w:val="1"/>
                <w:color w:val="auto"/>
              </w:rPr>
            </w:pPr>
          </w:p>
        </w:tc>
      </w:tr>
      <w:tr>
        <w:trPr>
          <w:trHeight w:val="170"/>
        </w:trPr>
        <w:tc>
          <w:tcPr>
            <w:tcW w:w="3900" w:type="dxa"/>
            <w:vAlign w:val="bottom"/>
            <w:gridSpan w:val="2"/>
            <w:vMerge w:val="continue"/>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2020" w:type="dxa"/>
            <w:vAlign w:val="bottom"/>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Paid to CEG</w:t>
            </w:r>
          </w:p>
        </w:tc>
        <w:tc>
          <w:tcPr>
            <w:tcW w:w="0" w:type="dxa"/>
            <w:vAlign w:val="bottom"/>
          </w:tcPr>
          <w:p>
            <w:pPr>
              <w:spacing w:after="0"/>
              <w:rPr>
                <w:sz w:val="1"/>
                <w:szCs w:val="1"/>
                <w:color w:val="auto"/>
              </w:rPr>
            </w:pPr>
          </w:p>
        </w:tc>
      </w:tr>
      <w:tr>
        <w:trPr>
          <w:trHeight w:val="171"/>
        </w:trPr>
        <w:tc>
          <w:tcPr>
            <w:tcW w:w="3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80" w:type="dxa"/>
            <w:vAlign w:val="bottom"/>
          </w:tcPr>
          <w:p>
            <w:pPr>
              <w:spacing w:after="0"/>
              <w:rPr>
                <w:sz w:val="14"/>
                <w:szCs w:val="14"/>
                <w:color w:val="auto"/>
              </w:rPr>
            </w:pPr>
          </w:p>
        </w:tc>
        <w:tc>
          <w:tcPr>
            <w:tcW w:w="5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Agua Caliente</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22,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Arica</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April 27, 2023</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Borrego</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August 1, 2012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Buckthorn Solar</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May 22, 2017</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Chestnut Fund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9, 2018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Clearway &amp; EFS Distributed Solar LLC</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28,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CS4 Fund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November 29, 2018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CVSR</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30, 2011</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Daggett 2</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July 15, 2022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Daggett 3</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28, 2021</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DG CS Holdco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November 2, 2020</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DGPV Fund 1 LLC</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June 12, 2015</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DGPV Fund 2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4, 2015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DGPV Fund 4 LLC</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June 16, 2017</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Golden Puma Fund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March 30,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Honeycomb</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20, 2024</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Kansas South</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June 13,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Lanikuhana Solar LLC</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28, 2017</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Luna Valley</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June 17,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Mililani I</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May 28, 2021</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Pine Forest</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23,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Rosamond Central</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June 30, 2023</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Rosamond South</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April 26,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Solar Blythe</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November 1, 2017</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Solar Blythe II</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March 1,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Solar Community I</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9, 2018</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Solar Vegas</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31,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SPP Facilities</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Agreements, dated October 31, 2017</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 High Desert</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June 9,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Texas Solar Nova 1</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24, 2022</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Texas Solar Nova 2</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24, 2022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Utah Solar Portfolio</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Agreements, dated June 13, 2022</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$3,527,000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Victory Pass</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April 27,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Waiawa</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May 28, 2021</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Waipio PV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28,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Wind</w:t>
            </w:r>
          </w:p>
        </w:tc>
        <w:tc>
          <w:tcPr>
            <w:tcW w:w="5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Alta Wind I</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Alta Wind II</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Alta Wind III</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Alta Wind IV</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Alta Wind V</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Alta Wind X</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Alta Wind XI</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Black Rock</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30, 2020</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Broken Bow</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Nov 6,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Buffalo Bear</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May 1,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Cedar Creek</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June 15,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Cedro Hill</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Nov 11, 2015</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Crofton Bluffs</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13, 2012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Dan’s Mountain</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May 2, 2024</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Elbow Creek</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31, 2018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Forward</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20,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Goat Mountain</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18, 2008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Langford</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July 30, 2018</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Laredo Ridge</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24, 2015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Lookout</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11, 2008</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Mesquite Sky</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30, 2020</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Mesquite Star</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May 7, 2019</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Mt. Storm</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April 23, 2021</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Mountain Wind 1</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17,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Mountain Wind 2</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17,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Ocotillo</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November 3, 2020</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Pinnacle</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Rattlesnake</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5, 2020</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Sleeping Bear</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May 1,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South Trent</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1, 2015</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Spanish Fork</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16,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Taloga</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July 1,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Wildorado</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11, 2008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$2,560,000</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Management and Administrative Services Agreements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CEG provides day-to-day administrative support to certain of the Company’s subsidiaries in accordance with asset management and administrative services agreements, or the ASAs. The ASAs for which the amount involved exceeded $120,000 during the year ended December 31, 2025 are described in the table below. Under these agreements, the Company generally pays an annual or monthly fee, which may be subject to annual adjustment, plus any reimbursable expenses.</w:t>
      </w:r>
    </w:p>
    <w:p>
      <w:pPr>
        <w:sectPr>
          <w:pgSz w:w="11900" w:h="16838" w:orient="portrait"/>
          <w:cols w:equalWidth="0" w:num="1">
            <w:col w:w="11280"/>
          </w:cols>
          <w:pgMar w:left="300" w:top="138"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49"/>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6500" w:type="dxa"/>
            <w:vAlign w:val="bottom"/>
            <w:gridSpan w:val="2"/>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184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Approximate Amount</w:t>
            </w:r>
          </w:p>
        </w:tc>
        <w:tc>
          <w:tcPr>
            <w:tcW w:w="0" w:type="dxa"/>
            <w:vAlign w:val="bottom"/>
          </w:tcPr>
          <w:p>
            <w:pPr>
              <w:spacing w:after="0"/>
              <w:rPr>
                <w:sz w:val="1"/>
                <w:szCs w:val="1"/>
                <w:color w:val="auto"/>
              </w:rPr>
            </w:pPr>
          </w:p>
        </w:tc>
      </w:tr>
      <w:tr>
        <w:trPr>
          <w:trHeight w:val="170"/>
        </w:trPr>
        <w:tc>
          <w:tcPr>
            <w:tcW w:w="2940" w:type="dxa"/>
            <w:vAlign w:val="bottom"/>
            <w:gridSpan w:val="2"/>
            <w:vMerge w:val="continue"/>
          </w:tcPr>
          <w:p>
            <w:pPr>
              <w:spacing w:after="0"/>
              <w:rPr>
                <w:sz w:val="14"/>
                <w:szCs w:val="14"/>
                <w:color w:val="auto"/>
              </w:rPr>
            </w:pPr>
          </w:p>
        </w:tc>
        <w:tc>
          <w:tcPr>
            <w:tcW w:w="6500" w:type="dxa"/>
            <w:vAlign w:val="bottom"/>
            <w:gridSpan w:val="2"/>
            <w:vMerge w:val="continue"/>
          </w:tcPr>
          <w:p>
            <w:pPr>
              <w:spacing w:after="0"/>
              <w:rPr>
                <w:sz w:val="14"/>
                <w:szCs w:val="14"/>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Paid to CEG</w:t>
            </w:r>
          </w:p>
        </w:tc>
        <w:tc>
          <w:tcPr>
            <w:tcW w:w="0" w:type="dxa"/>
            <w:vAlign w:val="bottom"/>
          </w:tcPr>
          <w:p>
            <w:pPr>
              <w:spacing w:after="0"/>
              <w:rPr>
                <w:sz w:val="1"/>
                <w:szCs w:val="1"/>
                <w:color w:val="auto"/>
              </w:rPr>
            </w:pPr>
          </w:p>
        </w:tc>
      </w:tr>
      <w:tr>
        <w:trPr>
          <w:trHeight w:val="173"/>
        </w:trPr>
        <w:tc>
          <w:tcPr>
            <w:tcW w:w="2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00" w:type="dxa"/>
            <w:vAlign w:val="bottom"/>
          </w:tcPr>
          <w:p>
            <w:pPr>
              <w:spacing w:after="0"/>
              <w:rPr>
                <w:sz w:val="15"/>
                <w:szCs w:val="15"/>
                <w:color w:val="auto"/>
              </w:rPr>
            </w:pPr>
          </w:p>
        </w:tc>
        <w:tc>
          <w:tcPr>
            <w:tcW w:w="6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Carlsbad</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November 19, 2024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El Segundo</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November 19,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Marsh Landing</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November 19, 2024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Walnut Creek</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November 19,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6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Agua Caliente</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Management Agreement, dated January 18, 2012</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Alpine</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Management Agreement, dated March 15, 2012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Arica</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November 16, 2022</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Buckthorn Solar</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Management Agreement, dated May 22, 2017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Chestnut Fund LLC</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Management Agreement, dated July 31, 2017</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CS4 Fund LLC</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Management Agreement, dated November 29, 2018</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CVSR</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Management Agreement, dated April 26, 2016</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DG CS Holdco LLC</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Management Agreement, dated November 2, 2020</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Daggett 1</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June 17,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Daggett 3</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October 28, 2021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DGPV Fund 4 LLC</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Management Agreement, dated June 28, 2016</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Honeycomb</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December 20, 2024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Mililani I</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May 28, 2021</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Oahu Solar</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December 28, 2017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Pine Forest</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September 23,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Rosamond Central</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June 30, 2023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Rosamond South</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April 26,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SPP Facilities</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Management Agreements, dated October 31, 2017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Texas Solar Nova 1</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October 24, 2021</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Texas Solar Nova 2</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October 24, 2022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Utah Solar Portfolio</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Management Agreements, dated December 1, 2021</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Victory Pass</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November 16, 2022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Waiawa</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May 28, 2021</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Wind</w:t>
            </w:r>
          </w:p>
        </w:tc>
        <w:tc>
          <w:tcPr>
            <w:tcW w:w="6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Black Rock</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December 30, 2020</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Broken Bow</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February 13, 2012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Buffalo Bear</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September 15, 2011</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Capistrano Portfolio Holdco</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Services Agreement, dated June 23, 2022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Cedar Creek</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March 10, 2023</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Cedro Hill</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Management and Administration Agreement, dated March 10, 2010</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Crofton Bluffs</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February 13, 2012</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Dan’s Mountain</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March 15, 2024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Elbow Creek</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January 1, 2018</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Forward</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 Agreement, dated January 1, 2012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Langford</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April 24, 2020</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Laredo Ridge</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Support Services Agreement, dated May 27, 2010</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Lookout</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 Agreement, dated January 1, 2012</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Mesquite Sky</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December 30, 2020</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Mesquite Star</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 Agreement, dated May 7, 2019</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Mountain Wind 1</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February 13, 2012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Mountain Wind 2</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February 13, 2012</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Mt. Storm</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April 23, 2021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Ocotillo</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 Agreement, dated November 3, 2020</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Pinnacle</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September 15, 2011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Rattlesnake</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February 5, 2020</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Sleeping Bear</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 Agreement, dated January 1, 2012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South Trent</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October 1, 2015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Spanish Fork</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 Agreement, dated January 1, 2012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$232,000</w:t>
            </w:r>
          </w:p>
        </w:tc>
        <w:tc>
          <w:tcPr>
            <w:tcW w:w="0" w:type="dxa"/>
            <w:vAlign w:val="bottom"/>
          </w:tcPr>
          <w:p>
            <w:pPr>
              <w:spacing w:after="0"/>
              <w:rPr>
                <w:sz w:val="1"/>
                <w:szCs w:val="1"/>
                <w:color w:val="auto"/>
              </w:rPr>
            </w:pPr>
          </w:p>
        </w:tc>
      </w:tr>
      <w:tr>
        <w:trPr>
          <w:trHeight w:val="18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Taloga</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 Agreement, dated November 20, 2012</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$182,000</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Washington Wind</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April 29,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$187,000</w:t>
            </w:r>
          </w:p>
        </w:tc>
        <w:tc>
          <w:tcPr>
            <w:tcW w:w="0" w:type="dxa"/>
            <w:vAlign w:val="bottom"/>
          </w:tcPr>
          <w:p>
            <w:pPr>
              <w:spacing w:after="0"/>
              <w:rPr>
                <w:sz w:val="1"/>
                <w:szCs w:val="1"/>
                <w:color w:val="auto"/>
              </w:rPr>
            </w:pPr>
          </w:p>
        </w:tc>
      </w:tr>
      <w:tr>
        <w:trPr>
          <w:trHeight w:val="184"/>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Wildorado</w:t>
            </w: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September 25, 2017</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$281,000</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Land Lease Agreements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is party to various land lease agreements with CEG. The land lease agreements for which the amount involved exceeded $120,000 during the year ended December 31, 2025 are described in the table below. Under these agreements, the Company generally pays a quarterly or monthly fee, which may be subject to annual adjustment.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6540" w:type="dxa"/>
            <w:vAlign w:val="bottom"/>
            <w:gridSpan w:val="2"/>
            <w:vMerge w:val="restart"/>
          </w:tcPr>
          <w:p>
            <w:pPr>
              <w:ind w:left="2600"/>
              <w:spacing w:after="0"/>
              <w:rPr>
                <w:sz w:val="20"/>
                <w:szCs w:val="20"/>
                <w:color w:val="auto"/>
              </w:rPr>
            </w:pPr>
            <w:r>
              <w:rPr>
                <w:rFonts w:ascii="Times New Roman" w:cs="Times New Roman" w:eastAsia="Times New Roman" w:hAnsi="Times New Roman"/>
                <w:sz w:val="13"/>
                <w:szCs w:val="13"/>
                <w:b w:val="1"/>
                <w:bCs w:val="1"/>
                <w:color w:val="auto"/>
              </w:rPr>
              <w:t>Agreement Description</w:t>
            </w:r>
          </w:p>
        </w:tc>
        <w:tc>
          <w:tcPr>
            <w:tcW w:w="202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Approximate Amount</w:t>
            </w:r>
          </w:p>
        </w:tc>
        <w:tc>
          <w:tcPr>
            <w:tcW w:w="0" w:type="dxa"/>
            <w:vAlign w:val="bottom"/>
          </w:tcPr>
          <w:p>
            <w:pPr>
              <w:spacing w:after="0"/>
              <w:rPr>
                <w:sz w:val="1"/>
                <w:szCs w:val="1"/>
                <w:color w:val="auto"/>
              </w:rPr>
            </w:pPr>
          </w:p>
        </w:tc>
      </w:tr>
      <w:tr>
        <w:trPr>
          <w:trHeight w:val="170"/>
        </w:trPr>
        <w:tc>
          <w:tcPr>
            <w:tcW w:w="2720" w:type="dxa"/>
            <w:vAlign w:val="bottom"/>
            <w:gridSpan w:val="2"/>
            <w:vMerge w:val="continue"/>
          </w:tcPr>
          <w:p>
            <w:pPr>
              <w:spacing w:after="0"/>
              <w:rPr>
                <w:sz w:val="14"/>
                <w:szCs w:val="14"/>
                <w:color w:val="auto"/>
              </w:rPr>
            </w:pPr>
          </w:p>
        </w:tc>
        <w:tc>
          <w:tcPr>
            <w:tcW w:w="6540" w:type="dxa"/>
            <w:vAlign w:val="bottom"/>
            <w:gridSpan w:val="2"/>
            <w:vMerge w:val="continue"/>
          </w:tcPr>
          <w:p>
            <w:pPr>
              <w:spacing w:after="0"/>
              <w:rPr>
                <w:sz w:val="14"/>
                <w:szCs w:val="14"/>
                <w:color w:val="auto"/>
              </w:rPr>
            </w:pPr>
          </w:p>
        </w:tc>
        <w:tc>
          <w:tcPr>
            <w:tcW w:w="2020" w:type="dxa"/>
            <w:vAlign w:val="bottom"/>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Paid to CEG</w:t>
            </w:r>
          </w:p>
        </w:tc>
        <w:tc>
          <w:tcPr>
            <w:tcW w:w="0" w:type="dxa"/>
            <w:vAlign w:val="bottom"/>
          </w:tcPr>
          <w:p>
            <w:pPr>
              <w:spacing w:after="0"/>
              <w:rPr>
                <w:sz w:val="1"/>
                <w:szCs w:val="1"/>
                <w:color w:val="auto"/>
              </w:rPr>
            </w:pPr>
          </w:p>
        </w:tc>
      </w:tr>
      <w:tr>
        <w:trPr>
          <w:trHeight w:val="173"/>
        </w:trPr>
        <w:tc>
          <w:tcPr>
            <w:tcW w:w="2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5"/>
                <w:szCs w:val="15"/>
                <w:color w:val="auto"/>
              </w:rPr>
            </w:pPr>
          </w:p>
        </w:tc>
        <w:tc>
          <w:tcPr>
            <w:tcW w:w="6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Daggett 2</w:t>
            </w: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Lease Agreement, dated October 27, 2021</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$988,000</w:t>
            </w:r>
          </w:p>
        </w:tc>
        <w:tc>
          <w:tcPr>
            <w:tcW w:w="0" w:type="dxa"/>
            <w:vAlign w:val="bottom"/>
          </w:tcPr>
          <w:p>
            <w:pPr>
              <w:spacing w:after="0"/>
              <w:rPr>
                <w:sz w:val="1"/>
                <w:szCs w:val="1"/>
                <w:color w:val="auto"/>
              </w:rPr>
            </w:pPr>
          </w:p>
        </w:tc>
      </w:tr>
      <w:tr>
        <w:trPr>
          <w:trHeight w:val="180"/>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Daggett 3</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Lease Agreement, dated December 18, 2020</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$1,634,000</w:t>
            </w:r>
          </w:p>
        </w:tc>
        <w:tc>
          <w:tcPr>
            <w:tcW w:w="0" w:type="dxa"/>
            <w:vAlign w:val="bottom"/>
          </w:tcPr>
          <w:p>
            <w:pPr>
              <w:spacing w:after="0"/>
              <w:rPr>
                <w:sz w:val="1"/>
                <w:szCs w:val="1"/>
                <w:color w:val="auto"/>
              </w:rPr>
            </w:pPr>
          </w:p>
        </w:tc>
      </w:tr>
      <w:tr>
        <w:trPr>
          <w:trHeight w:val="180"/>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Luna Valley</w:t>
            </w: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Lease Agreement, dated October 24,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$1,020,000</w:t>
            </w:r>
          </w:p>
        </w:tc>
        <w:tc>
          <w:tcPr>
            <w:tcW w:w="0" w:type="dxa"/>
            <w:vAlign w:val="bottom"/>
          </w:tcPr>
          <w:p>
            <w:pPr>
              <w:spacing w:after="0"/>
              <w:rPr>
                <w:sz w:val="1"/>
                <w:szCs w:val="1"/>
                <w:color w:val="auto"/>
              </w:rPr>
            </w:pPr>
          </w:p>
        </w:tc>
      </w:tr>
      <w:tr>
        <w:trPr>
          <w:trHeight w:val="180"/>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Mililani I</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Lease Agreement, dated November 18, 2020</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$847,000</w:t>
            </w:r>
          </w:p>
        </w:tc>
        <w:tc>
          <w:tcPr>
            <w:tcW w:w="0" w:type="dxa"/>
            <w:vAlign w:val="bottom"/>
          </w:tcPr>
          <w:p>
            <w:pPr>
              <w:spacing w:after="0"/>
              <w:rPr>
                <w:sz w:val="1"/>
                <w:szCs w:val="1"/>
                <w:color w:val="auto"/>
              </w:rPr>
            </w:pPr>
          </w:p>
        </w:tc>
      </w:tr>
      <w:tr>
        <w:trPr>
          <w:trHeight w:val="180"/>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Oahu Solar</w:t>
            </w: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Lease Agreement, dated September 19, 2019</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$936,000</w:t>
            </w:r>
          </w:p>
        </w:tc>
        <w:tc>
          <w:tcPr>
            <w:tcW w:w="0" w:type="dxa"/>
            <w:vAlign w:val="bottom"/>
          </w:tcPr>
          <w:p>
            <w:pPr>
              <w:spacing w:after="0"/>
              <w:rPr>
                <w:sz w:val="1"/>
                <w:szCs w:val="1"/>
                <w:color w:val="auto"/>
              </w:rPr>
            </w:pPr>
          </w:p>
        </w:tc>
      </w:tr>
      <w:tr>
        <w:trPr>
          <w:trHeight w:val="180"/>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Rosamond Central</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Lease Agreement, dated November 18, 2020</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$595,000</w:t>
            </w:r>
          </w:p>
        </w:tc>
        <w:tc>
          <w:tcPr>
            <w:tcW w:w="0" w:type="dxa"/>
            <w:vAlign w:val="bottom"/>
          </w:tcPr>
          <w:p>
            <w:pPr>
              <w:spacing w:after="0"/>
              <w:rPr>
                <w:sz w:val="1"/>
                <w:szCs w:val="1"/>
                <w:color w:val="auto"/>
              </w:rPr>
            </w:pPr>
          </w:p>
        </w:tc>
      </w:tr>
      <w:tr>
        <w:trPr>
          <w:trHeight w:val="180"/>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Rosamond South I</w:t>
            </w: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Lease Agreement, dated October 30,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$927,000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Collaboration Agreement</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On February 9, 2024, the Company entered into a Development Collaboration Agreement with Clearway Renew, or the Collaboration Agreement, pursuant to which, among other things, the Company procures substitute RA capacity from Clearway Renew to meet the Company’s contractual obligations to deliver RA capacity to various load-serving entities and to meet certain tariff requirements to provide RA capacity to cover planned outages. Under the Collaboration Agreement, certain subsidiaries of the Company that own and operate the Company’s natural gas-fired generating assets purchase substitute RA capacity from certain subsidiaries of Clearway Renew that operate its BESS development companies, or the BESS Companies, in each case pursuant to separate, five-year purchase agreements, or the RA Agreements. In addition, pursuant to the Collaboration Agreement, Clearway Renew has offered the Company a right of first offer to acquire an ownership interest in the BESS Companies or certain of Clearway Renew’s BESS facilities. Under the Collaboration Agreement and the RA Agreement, the Clearway Renew BESS Companies posted approximately $1,435,000 of security to the Company in 2024 to guarantee the financial obligations of the BESS Companies. The value of such security may increase in the future if certain milestones are met.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Services Agreements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Master Development Services Agreement with Clearway Renew</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December 22, 2025, the Company entered into a master development services agreement with Clearway Renew under which Clearway Renew will provide pre-construction development, construction management and asset management services in connection with future approved repowerings of the Company’s facilities. The Company did not incur any expenses under this agreement for the year ended December 31, 2025.</w:t>
      </w:r>
    </w:p>
    <w:p>
      <w:pPr>
        <w:sectPr>
          <w:pgSz w:w="11900" w:h="16838" w:orient="portrait"/>
          <w:cols w:equalWidth="0" w:num="1">
            <w:col w:w="11280"/>
          </w:cols>
          <w:pgMar w:left="300" w:top="147" w:right="319" w:bottom="0" w:gutter="0" w:footer="0" w:header="0"/>
        </w:sectPr>
      </w:pPr>
    </w:p>
    <w:bookmarkStart w:id="89" w:name="page90"/>
    <w:bookmarkEnd w:id="89"/>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San Juan Mesa Development Services Agreement with Clearway Renew</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October 30, 2025, the Company entered into a development services agreement with Clearway Renew in connection with the repowering of the San Juan Mesa wind facility, which is located in Elida, New Mexico. The Company estimates that its total capital investment in the San Juan Mesa repowering will be $50 million, subject to closing adjustments.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Goat Mountain Development Services Agreement with Clearway Renew</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July 23, 2025, the Company entered into a development services agreement with Clearway Renew under which Clearway Renew will provide pre-construction development, construction management and asset management services in connection with the repowering of the Goat Mountain wind facility, which is located in Sterling City, Texas. The Company estimates that its total capital investment in the Goat Mountain repowering will be $200 million, subject to closing adjustments. In connection with the agreement, on December 12, 2025, the Company paid Clearway Renew $27 million, of which $25 million is related to the future delivery of equipment and $2 million related to capital expenditures.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During 2025, the Company paid approximately $22,481,000 to CEG, consisting primarily of reimbursements of insurance premiums, employee-related benefits that CEG paid on behalf of the Company and enterprise resource planning shared costs. The Company also received $4,065,000 from CEG, consisting primarily of employee-related expenses that the Company paid on behalf of CEG.</w:t>
      </w:r>
    </w:p>
    <w:p>
      <w:pPr>
        <w:spacing w:after="0" w:line="93" w:lineRule="exact"/>
        <w:rPr>
          <w:sz w:val="20"/>
          <w:szCs w:val="20"/>
          <w:color w:val="auto"/>
        </w:rPr>
      </w:pPr>
    </w:p>
    <w:p>
      <w:pPr>
        <w:ind w:right="1940" w:firstLine="318"/>
        <w:spacing w:after="0" w:line="442" w:lineRule="auto"/>
        <w:rPr>
          <w:sz w:val="20"/>
          <w:szCs w:val="20"/>
          <w:color w:val="auto"/>
        </w:rPr>
      </w:pPr>
      <w:r>
        <w:rPr>
          <w:rFonts w:ascii="Times New Roman" w:cs="Times New Roman" w:eastAsia="Times New Roman" w:hAnsi="Times New Roman"/>
          <w:sz w:val="14"/>
          <w:szCs w:val="14"/>
          <w:color w:val="auto"/>
        </w:rPr>
        <w:t xml:space="preserve">During 2025, the Company also paid approximately $6,023,000 consisting of annual property insurance premiums to TotalEnergies’ captive insurance affiliate. </w:t>
      </w:r>
      <w:r>
        <w:rPr>
          <w:rFonts w:ascii="Times New Roman" w:cs="Times New Roman" w:eastAsia="Times New Roman" w:hAnsi="Times New Roman"/>
          <w:sz w:val="14"/>
          <w:szCs w:val="14"/>
          <w:b w:val="1"/>
          <w:bCs w:val="1"/>
          <w:i w:val="1"/>
          <w:iCs w:val="1"/>
          <w:color w:val="auto"/>
        </w:rPr>
        <w:t>Fourth Amended and Restated Limited Liability Company Agreement of Clearway Energy LLC</w:t>
      </w:r>
    </w:p>
    <w:p>
      <w:pPr>
        <w:spacing w:after="0" w:line="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following is a description of certain material terms of the Company’s Fourth Amended and Restated Limited Liability Company Agreement. For the year ended December 31, 2025, the Company made approximately $149,235,000 in distributions to Clearway, Inc. (the holder of Class A and Class C units) and $208,936,000 to CEG (the holder of Class B and Class D units). In addition to the quarterly distributions, the Company distributed an additional $43,898,000, $25,681,000 of which was distributed to Clearway, Inc. primarily related to its contributions through Pine Forest TE Class A, an indirect subsidiary of Clearway, Inc., to acquire the Class A membership interests in Pine Forest TE HoldCo LLC, and $18,217,000 of which was distributed to CEG, which represents CEG’s pro-rata share of the additional distributions, during the year ended December 31, 2025. Also, for the year ended December 31, 2025, the Company recorded approximately $4,744,000 of equity contributions, consisting of $2,757,000 attributable to Clearway, Inc. and $1,987,000 attributable to CEG, related to each member’s respective allocation of transferable ITCs and PTCs generated by the Company’s wind, solar and BESS facilities and received by the Company during 2025.</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Inc. serves as the sole managing member of the Company. As such, Clearway, Inc. and effectively Clearway, Inc.’s Board of Directors, control the business and affairs of the Company and are responsible for the management of the business.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Voting and Economic Rights of Members</w:t>
      </w:r>
    </w:p>
    <w:p>
      <w:pPr>
        <w:spacing w:after="0" w:line="13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The Company has four classes of Units: Class A units, Class B units, Class C units and Class D units. Class A units and Class C units may be issued only to Clearway, Inc.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and each Class D unit is exchangeable for a share of Clearway, Inc.’s Class D common stock, in each case subject to equitable adjustments for stock splits, dividends and reclassifications in accordance with the terms of the Exchange Agreement (as described below).</w:t>
      </w: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profits and net losses and distributions by the Company are allocated and made to holders of units in accordance with the respective number of membership units of the Company held.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Generally, the Company will make distributions to holders of units for the purpose of funding tax obligations in respect of income of the Company that is allocated to the members of the Company.</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 of the units have any voting rights.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Clearway, Inc.’s Coordination with Clearway Energy LLC</w:t>
      </w:r>
    </w:p>
    <w:p>
      <w:pPr>
        <w:spacing w:after="0" w:line="138" w:lineRule="exact"/>
        <w:rPr>
          <w:sz w:val="20"/>
          <w:szCs w:val="20"/>
          <w:color w:val="auto"/>
        </w:rPr>
      </w:pPr>
    </w:p>
    <w:p>
      <w:pPr>
        <w:jc w:val="both"/>
        <w:ind w:firstLine="318"/>
        <w:spacing w:after="0" w:line="284" w:lineRule="auto"/>
        <w:rPr>
          <w:sz w:val="20"/>
          <w:szCs w:val="20"/>
          <w:color w:val="auto"/>
        </w:rPr>
      </w:pPr>
      <w:r>
        <w:rPr>
          <w:rFonts w:ascii="Times New Roman" w:cs="Times New Roman" w:eastAsia="Times New Roman" w:hAnsi="Times New Roman"/>
          <w:sz w:val="14"/>
          <w:szCs w:val="14"/>
          <w:color w:val="auto"/>
        </w:rPr>
        <w:t>At any time Clearway, Inc. issues a share of Class A common stock or a share of Class C common stock for cash, the net proceeds therefrom will promptly be transferred to the Company, and the Company will either:</w:t>
      </w:r>
    </w:p>
    <w:p>
      <w:pPr>
        <w:spacing w:after="0" w:line="1" w:lineRule="exact"/>
        <w:rPr>
          <w:sz w:val="20"/>
          <w:szCs w:val="20"/>
          <w:color w:val="auto"/>
        </w:rPr>
      </w:pPr>
    </w:p>
    <w:p>
      <w:pPr>
        <w:ind w:left="760" w:hanging="246"/>
        <w:spacing w:after="0" w:line="284" w:lineRule="auto"/>
        <w:tabs>
          <w:tab w:leader="none" w:pos="70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 newly issued Class A unit of the Company to Clearway, Inc. in the case of the issuance of a share of Class A common stock, or a newly issued Class C unit of the Company to Clearway, Inc. in the case of the issuance of a share of Class C common stock; or</w:t>
      </w:r>
    </w:p>
    <w:p>
      <w:pPr>
        <w:ind w:left="760" w:hanging="246"/>
        <w:spacing w:after="0" w:line="270" w:lineRule="auto"/>
        <w:tabs>
          <w:tab w:leader="none" w:pos="70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the net proceeds to purchase a Class B unit of the Company from CEG in the case of the issuance of a share of Class A common stock, which Class B unit will automatically convert into a Class A unit of the Company when transferred to Clearway, Inc., or a Class D unit of the Company from CEG in the case of the issuance of a share of Class C common stock, which Class D unit will automatically convert into a Class C unit of the Company when transferred to Clearway, Inc.</w:t>
      </w:r>
    </w:p>
    <w:p>
      <w:pPr>
        <w:spacing w:after="0" w:line="5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If Clearway, Inc. elects to redeem any shares of their Class A common stock or Class C common stock for cash, the Company will, immediately prior to such redemption, redeem an equal number of Class A units or Class C units, as applicable, held by Clearway, Inc. upon the same terms and for the same price, as the shares of Class A common stock so redeemed.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Agreement</w:t>
      </w:r>
    </w:p>
    <w:p>
      <w:pPr>
        <w:spacing w:after="0" w:line="138" w:lineRule="exact"/>
        <w:rPr>
          <w:sz w:val="20"/>
          <w:szCs w:val="20"/>
          <w:color w:val="auto"/>
        </w:rPr>
      </w:pPr>
    </w:p>
    <w:p>
      <w:pPr>
        <w:jc w:val="both"/>
        <w:ind w:firstLine="318"/>
        <w:spacing w:after="0" w:line="179" w:lineRule="exact"/>
        <w:rPr>
          <w:sz w:val="20"/>
          <w:szCs w:val="20"/>
          <w:color w:val="auto"/>
        </w:rPr>
      </w:pPr>
      <w:r>
        <w:rPr>
          <w:rFonts w:ascii="Times New Roman" w:cs="Times New Roman" w:eastAsia="Times New Roman" w:hAnsi="Times New Roman"/>
          <w:sz w:val="14"/>
          <w:szCs w:val="14"/>
          <w:color w:val="auto"/>
        </w:rPr>
        <w:t>The Company is party to a Second Amended and Restated Exchange Agreement with CEG and Clearway, Inc., or the Exchange Agreement. Under the Exchange Agreement, CEG (and certain permitted assignees and permitted transferees who acquire Class B units or Class D units of the Company, collectively with CEG, the CEG Unitholders) may from time to time cause the Company to exchange their Class B units for shares of Clearway, Inc.’s Class A common stock on a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one basis, subject to adjustments for stock splits, stock dividends and reclassifications, or exchange their Class D units for shares of Clearway, Inc.’s Class C common stock on a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one basis, subject to equitable adjustments for stock splits, stock dividends and reclassifications.</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When a CEG Unitholder exchanges a Class B unit of the Company for a share of Clearway, Inc.’s Class A common stock, Clearway, Inc. will automatically redeem and cancel a corresponding share of their Class B common stock and the Class B unit will automatically convert into a Class A unit when issued to Clearway, Inc.; similarly, when a CEG Unitholder exchanges a Class D unit of the Company for a share of Clearway, Inc.’s Class C common stock, Clearway, Inc. will automatically redeem and cancel a corresponding share of their Class D common stock and the Class D unit will automatically convert into a Class C unit when issued to Clearway, Inc. As a result, when a CEG Unitholder exchanges its Class B units for shares of Clearway, Inc.’s Class A common stock, or its Class D units for shares of Clearway, Inc.’s Class C common stock, Clearway, Inc.’s interest in the Company will be correspondingly increased.</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Additionally, when a CEG Unitholder exchanges a Class B unit or Class D unit of the Company, the CEG Unitholder will pay Clearway, Inc. an equitable cash settlement on the applicable exchange date for the value of certain of Clearway, Inc.’s assets that are not held through the Company. The amount of any such payment will be calculated based on the net present value of the projected discounted cash flow of such assets, using a discount rate equal to the weighted average cost of capital for such assets, and the daily volume-weighted average closing price of Clearway, Inc.’s Class A common stock or Class C common stock, as applicable, for the trailing 30 trading days ending on the second trading day prior to the applicable exchange date.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of Officers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Inc. has entered into indemnification agreements with each of its executive officers. The indemnification agreements provide the executive officers with contractual rights to indemnification, expense advancement and reimbursement to the fullest extent permitted under Delaware law.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Inc. is party to an Amended and Restated Registration Rights Agreement with CEG, or the Registration Rights Agreement. Under the Registration Rights Agreement, CEG and its affiliates are entitled to demand registration rights, including the right to demand that a shelf registration statement be filed, and “piggyback” registration rights, for shares of Clearway, Inc.’s Class A common stock that are issuable upon exchange of Class B units of the Company that CEG owns and shares of Clearway, Inc.’s Class C common stock that are issuable upon exchange of the Class D units of the Company that CEG owns.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Procedures for Review, Approval and Ratification of Related Person Transactions; Conflicts of Interest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does not have a separate policy regarding related party transactions, as all of its officers are subject to the written Related Person Policy of Clearway, Inc., which provides that the Corporate Governance, Conflicts and Nominating Committee of Clearway, Inc.’s Board of Directors will periodically review all related person transactions that are required to be disclosed under SEC rules and, when appropriate, initially authorize or ratify all such transactions.</w:t>
      </w:r>
    </w:p>
    <w:p>
      <w:pPr>
        <w:spacing w:after="0" w:line="93" w:lineRule="exact"/>
        <w:rPr>
          <w:sz w:val="20"/>
          <w:szCs w:val="20"/>
          <w:color w:val="auto"/>
        </w:rPr>
      </w:pPr>
    </w:p>
    <w:p>
      <w:pPr>
        <w:jc w:val="both"/>
        <w:ind w:firstLine="318"/>
        <w:spacing w:after="0" w:line="284" w:lineRule="auto"/>
        <w:rPr>
          <w:sz w:val="20"/>
          <w:szCs w:val="20"/>
          <w:color w:val="auto"/>
        </w:rPr>
      </w:pPr>
      <w:r>
        <w:rPr>
          <w:rFonts w:ascii="Times New Roman" w:cs="Times New Roman" w:eastAsia="Times New Roman" w:hAnsi="Times New Roman"/>
          <w:sz w:val="14"/>
          <w:szCs w:val="14"/>
          <w:color w:val="auto"/>
        </w:rPr>
        <w:t>The Related Person Policy operates in conjunction with Clearway, Inc.’s Code of Conduct and is applicable to all “Related Person Transactions”, which are all transactions, arrangements or relationships in which:</w:t>
      </w:r>
    </w:p>
    <w:p>
      <w:pPr>
        <w:spacing w:after="0" w:line="1" w:lineRule="exact"/>
        <w:rPr>
          <w:sz w:val="20"/>
          <w:szCs w:val="20"/>
          <w:color w:val="auto"/>
        </w:rPr>
      </w:pPr>
    </w:p>
    <w:p>
      <w:pPr>
        <w:ind w:left="1020" w:hanging="506"/>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involved will or may be expected to exceed $50,000 in any calendar year;</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Clearway, Inc. is a participant; and</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Related Person (as that term is defined below) has or will have a direct or indirect interest.</w:t>
      </w:r>
    </w:p>
    <w:p>
      <w:pPr>
        <w:sectPr>
          <w:pgSz w:w="11900" w:h="16857" w:orient="portrait"/>
          <w:cols w:equalWidth="0" w:num="1">
            <w:col w:w="11280"/>
          </w:cols>
          <w:pgMar w:left="300" w:top="123" w:right="319" w:bottom="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4"/>
          <w:szCs w:val="14"/>
          <w:color w:val="auto"/>
        </w:rPr>
        <w:t>A “Related Person” is:</w:t>
      </w:r>
    </w:p>
    <w:p>
      <w:pPr>
        <w:spacing w:after="0" w:line="51" w:lineRule="exact"/>
        <w:rPr>
          <w:sz w:val="20"/>
          <w:szCs w:val="20"/>
          <w:color w:val="auto"/>
        </w:rPr>
      </w:pPr>
    </w:p>
    <w:p>
      <w:pPr>
        <w:ind w:left="1020" w:hanging="506"/>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at any time during the applicable period was, a director of the Company or a nominee for director or an executive officer;</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known to Clearway, Inc. to be the beneficial owner of more than 5% of any class of Clearway, Inc.’s voting stock;</w:t>
      </w:r>
    </w:p>
    <w:p>
      <w:pPr>
        <w:spacing w:after="0" w:line="62" w:lineRule="exact"/>
        <w:rPr>
          <w:rFonts w:ascii="Times New Roman" w:cs="Times New Roman" w:eastAsia="Times New Roman" w:hAnsi="Times New Roman"/>
          <w:sz w:val="14"/>
          <w:szCs w:val="14"/>
          <w:color w:val="auto"/>
        </w:rPr>
      </w:pPr>
    </w:p>
    <w:p>
      <w:pPr>
        <w:jc w:val="both"/>
        <w:ind w:left="1020" w:hanging="506"/>
        <w:spacing w:after="0" w:line="182" w:lineRule="exact"/>
        <w:tabs>
          <w:tab w:leader="none" w:pos="10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immediate family member of any of the persons referenced in the preceding two bullets, which means any child, stepchild, parent, stepparent, spouse, sibling, mother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father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son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daughter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brother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or sister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of the director, nominee for director, executive officer or more than 5% beneficial owner of any class of Clearway, Inc.’s voting stock, and any person (other than a tenant or employee) sharing the household of such director, nominee for director, executive officer or more than 5% beneficial owner of any class of the Company’s voting stock; and</w:t>
      </w:r>
    </w:p>
    <w:p>
      <w:pPr>
        <w:spacing w:after="0" w:line="70" w:lineRule="exact"/>
        <w:rPr>
          <w:rFonts w:ascii="Times New Roman" w:cs="Times New Roman" w:eastAsia="Times New Roman" w:hAnsi="Times New Roman"/>
          <w:sz w:val="14"/>
          <w:szCs w:val="14"/>
          <w:color w:val="auto"/>
        </w:rPr>
      </w:pPr>
    </w:p>
    <w:p>
      <w:pPr>
        <w:ind w:left="1020" w:hanging="506"/>
        <w:spacing w:after="0" w:line="287" w:lineRule="auto"/>
        <w:tabs>
          <w:tab w:leader="none" w:pos="10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firm, corporation or other entity in which any of the foregoing persons is a partner or principal or in a similar position or in which such person has a 10% or greater beneficial ownership interest.</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0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If the aggregate amount involved is expected to be less than $500,000, the transaction may be approved or ratified by the Chair of the Corporate Governance, Conflicts and Nominating Committee.</w:t>
      </w:r>
    </w:p>
    <w:p>
      <w:pPr>
        <w:spacing w:after="0" w:line="82" w:lineRule="exact"/>
        <w:rPr>
          <w:sz w:val="20"/>
          <w:szCs w:val="20"/>
          <w:color w:val="auto"/>
        </w:rPr>
      </w:pPr>
    </w:p>
    <w:p>
      <w:pPr>
        <w:jc w:val="both"/>
        <w:ind w:firstLine="318"/>
        <w:spacing w:after="0" w:line="174" w:lineRule="exact"/>
        <w:rPr>
          <w:sz w:val="20"/>
          <w:szCs w:val="20"/>
          <w:color w:val="auto"/>
        </w:rPr>
      </w:pPr>
      <w:r>
        <w:rPr>
          <w:rFonts w:ascii="Times New Roman" w:cs="Times New Roman" w:eastAsia="Times New Roman" w:hAnsi="Times New Roman"/>
          <w:sz w:val="14"/>
          <w:szCs w:val="14"/>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 party under the same or similar circumstances and the extent of the Related Person’s interest in the transaction. This Related Person Policy also provides that certain transactions, based on their nature and/or monetary amount, are deemed to be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approved or ratified by the Corporate Governance, Conflicts and Nominating Committee and do not require separate approval or ratification.</w:t>
      </w:r>
    </w:p>
    <w:p>
      <w:pPr>
        <w:spacing w:after="0" w:line="11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Committee’s activities with respect to the review and approval or ratification of all Related Person Transactions are reported periodically to Clearway, Inc.’s Board of Directors. Any transaction between us and any Related Person, including CEG, will be subject to the prior review and approval of the Company’s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color w:val="auto"/>
        </w:rPr>
        <w:t>Item 14 — Principal Accounting Fees and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and Nonaudit Fees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fees for professional services rendered by PricewaterhouseCoopers LLP, the Company’s principal independent registered public accounting firm:</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71"/>
        </w:trPr>
        <w:tc>
          <w:tcPr>
            <w:tcW w:w="80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Fees</w:t>
            </w: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5,866,181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4,479,259</w:t>
            </w: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1,959,625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518,572</w:t>
            </w: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897,000</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71"/>
        </w:trPr>
        <w:tc>
          <w:tcPr>
            <w:tcW w:w="8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8,722,806</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4,999,831</w:t>
            </w: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Fees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 2025 and 2024, PricewaterhouseCoopers LLP billed the Company approximately $5,866,181 and $4,479,259,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Audit-Related Fees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2025 and 2024, there were no audit-related fees billed to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Fees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2025 and 2024, PricewaterhouseCoopers LLP billed the Company approximately $1,959,625 and $518,572, respectively, relating primarily to compliance work.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 Other Fees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2025 and 2024, PricewaterhouseCoopers LLP billed the Company approximately $897,000 and $2,000, respectively, in other fees relating to online subscription fees and pre-implementation review of the Company’s new enterprise resource planning application.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Policy on Audit Committee Pre-approval</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Audit Committee of Clearway, Inc. is responsible for appointing, setting compensation for, and overseeing the work of the independent registered public accounting firm of the Company. The Audit Committee of Clearway, Inc. has established a policy regarding pre-approval of all audit and permissible nonaudit services provided by the independent registered public accounting firm of the Company.</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Audit Committee of Clearway, Inc. will annually review and pre-approve services that are expected to be provided by the independent registered public accounting firm. The term of the pre-approval will be 12 months from the date of the pre-approval, unless the Audit Committee of Clearway, Inc. approves a shorter time period. The Audit Committee may periodically amend and/or supplement the pre-approved services based on subsequent determinations.</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Unless the Audit Committee of Clearway, Inc. has pre-approved Audit Services or a specified category of nonaudit services, any engagement to provide such services must be pre-approved by the Audit Committee of Clearway, Inc. if it is to be provided by the independent registered public accounting firm. The Audit Committee of Clearway, Inc. must also pre-approve any proposed services exceeding the pre-approved budgeted fee levels for a specified type of service.</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Audit Committee of Clearway, Inc. has authorized its Chair to pre-approve services in amounts up to $100,000 per engagement. Engagements exceeding $100,000 must be approved by the full Audit Committee of Clearway, Inc. Engagements pre-approved by the Chair are reported to the Audit Committee of Clearway, Inc. at its next scheduled meeting. The Audit Committee of Clearway, Inc. approved all of the audit-related fees, tax fees and all other fees disclosed above.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 Exhibits, Financial Statement Schedules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consolidated financial statements of Clearway Energy LLC and related notes thereto, together with the Report of Independent Registered Public Accounting Firm of</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PricewaterhouseCoopers LLP (PCAOB ID: 238) and Report of Independent Registered Public Accounting Firm of Ernst &amp; Young LLP (PCAOB ID: 42) thereon, are included herein:</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Operations — Years ended December 31, 2025, 2024 and 2023</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Comprehensive Income — Years ended December 31, 2025, 2024 and 2023</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Balance Sheets — As of December 31, 2025 and 2024</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Cash Flows — Years ended December 31, 2025, 2024 and 2023</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Members’ Equity — Years ended December 31, 2025, 2024 and 2023</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(a)(2) Financial Statement Schedules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schedules of Clearway Energy LLC are filed as part of Item 15 of this report and should be read in conjunction with the Consolidated Financial Statements:</w:t>
      </w:r>
    </w:p>
    <w:p>
      <w:pPr>
        <w:spacing w:after="0" w:line="136" w:lineRule="exact"/>
        <w:rPr>
          <w:sz w:val="20"/>
          <w:szCs w:val="20"/>
          <w:color w:val="auto"/>
        </w:rPr>
      </w:pPr>
    </w:p>
    <w:p>
      <w:pPr>
        <w:ind w:left="760"/>
        <w:spacing w:after="0" w:line="287" w:lineRule="auto"/>
        <w:rPr>
          <w:sz w:val="20"/>
          <w:szCs w:val="20"/>
          <w:color w:val="auto"/>
        </w:rPr>
      </w:pPr>
      <w:r>
        <w:rPr>
          <w:rFonts w:ascii="Times New Roman" w:cs="Times New Roman" w:eastAsia="Times New Roman" w:hAnsi="Times New Roman"/>
          <w:sz w:val="14"/>
          <w:szCs w:val="14"/>
          <w:color w:val="auto"/>
        </w:rPr>
        <w:t>Schedule I — Clearway Energy LLC (Parent) Condensed Financial Statements as of December 31, 2025 and 2024 and for the years ended December 31, 2025, 2024 and 2023, are included in Clearway Energy LLC’s Annual Report on Form 10-K pursuant to the requirements of Rule 5-04(c) of Regulation S-X</w:t>
      </w:r>
    </w:p>
    <w:p>
      <w:pPr>
        <w:spacing w:after="0" w:line="82" w:lineRule="exact"/>
        <w:rPr>
          <w:sz w:val="20"/>
          <w:szCs w:val="20"/>
          <w:color w:val="auto"/>
        </w:rPr>
      </w:pPr>
    </w:p>
    <w:p>
      <w:pPr>
        <w:ind w:left="760"/>
        <w:spacing w:after="0" w:line="287" w:lineRule="auto"/>
        <w:rPr>
          <w:sz w:val="20"/>
          <w:szCs w:val="20"/>
          <w:color w:val="auto"/>
        </w:rPr>
      </w:pPr>
      <w:r>
        <w:rPr>
          <w:rFonts w:ascii="Times New Roman" w:cs="Times New Roman" w:eastAsia="Times New Roman" w:hAnsi="Times New Roman"/>
          <w:sz w:val="14"/>
          <w:szCs w:val="14"/>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(a)(3) Exhibits: See Exhibit Index submitted as a separate section of this report</w:t>
      </w:r>
    </w:p>
    <w:p>
      <w:pPr>
        <w:spacing w:after="0" w:line="136" w:lineRule="exact"/>
        <w:rPr>
          <w:sz w:val="20"/>
          <w:szCs w:val="20"/>
          <w:color w:val="auto"/>
        </w:rPr>
      </w:pPr>
    </w:p>
    <w:p>
      <w:pPr>
        <w:ind w:left="580" w:hanging="193"/>
        <w:spacing w:after="0"/>
        <w:tabs>
          <w:tab w:leader="none" w:pos="5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36"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Exhibit Index submitted as a separate section of this report</w:t>
      </w:r>
    </w:p>
    <w:p>
      <w:pPr>
        <w:spacing w:after="0" w:line="136" w:lineRule="exact"/>
        <w:rPr>
          <w:rFonts w:ascii="Times New Roman" w:cs="Times New Roman" w:eastAsia="Times New Roman" w:hAnsi="Times New Roman"/>
          <w:sz w:val="14"/>
          <w:szCs w:val="14"/>
          <w:color w:val="auto"/>
        </w:rPr>
      </w:pPr>
    </w:p>
    <w:p>
      <w:pPr>
        <w:ind w:left="580" w:hanging="193"/>
        <w:spacing w:after="0"/>
        <w:tabs>
          <w:tab w:leader="none" w:pos="5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Members of Clearway Energy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Clearway Energy LLC and its subsidiaries (the “Company”) as of December 31, 2025 and 2024, and the related consolidated statements of operations, of comprehensive income, of members’ equity and of cash flows for the years then ended, including the related notes and schedule of Clearway Energy LLC (Parent) condensed financial statements as of December 31, 2025 and 2024 and for the years then ended appearing under Item 15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color w:val="auto"/>
        </w:rPr>
        <w:t>Hypothetical Liquidation at Book Value (HLBV) Calculation of Net Loss Attributable to Redeemable Noncontrolling Interests and Noncontrolling Interests in Tax Equity Arrangements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described in Note 2 to the consolidated financial statements, certain portions of the Company’s redeemable noncontrolling interest in subsidiaries and noncontrolling interest represent third-party interests in the net assets under tax equity arrangements, which are consolidated by the Company, that have been entered into to finance the cost of facilities eligible for certain tax credits and benefits. Management has determined that the provisions in the contractual agreements of these redeemable noncontrolling interests and noncontrolling interests represent substantive profit-sharing arrangements, for which management uses a balance sheet approach utilizing the hypothetical liquidation at book value, or HLBV, method to calculate the redeemable noncontrolling interest and noncontrolling interest.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 disclosed by management, management must apply judgment in determining the methodology for applying the HLBV method and changes in certain factors may have a significant impact on the amounts that an investor would receive upon a hypothetical liquidation. For the year ended December 31, 2025, the net loss attributable to noncontrolling interests and redeemable noncontrolling interests was $555 million, of which a majority represents third-party interests in the net assets under tax equity arrangements.</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HLBV calculation of net loss attributable to redeemable noncontrolling interests and noncontrolling interests in tax equity arrangements is a critical audit matter are (i) the significant judgment by management in applying the HLBV method to determine the income or loss each redeemable noncontrolling interest and noncontrolling interest would hypothetically receive at each balance sheet date under the liquidation provisions of the contractual agreements; (ii) a high degree of auditor judgment, subjectivity, and effort in performing procedures and evaluating audit evidence related to management’s judgments applied in using the HLBV method to calculate the redeemable noncontrolling interests and noncontrolling interests in tax equity arrangements; and (iii) the audit effort involved the use of professionals with specialized skill and knowledge. As disclosed by management, a material weakness existed related to this matter.</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the control relating to management's assessment of the accounting model used for tax equity arrangements. These procedures also included, among others (i) testing the completeness and accuracy of the underlying data used by management and (ii) the involvement of professionals with specialized skill and knowledge to assist in (a) evaluating the appropriateness of the HLBV method based on the terms of the contractual agreements and (b) developing independent calculations of the income or loss attributable to the redeemable noncontrolling interests and noncontrolling interests based on the terms of the contractual agreements and comparing the independent calculations to management's calculations.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Members of Clearway Energy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Financial Statements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operations, comprehensive income, members’ equity and cash flows of Clearway Energy LLC (the Company) for the year ended December 31, 2023, and the related notes and financial statement schedule listed in the Index at Item 15(a)(2) (collectively referred to as the “consolidated financial statements”). In our opinion, the consolidated financial statements present fairly, in all material respects, the results of its operations and its cash flows for the year ended December 31, 2023, in conformity with U.S. generally accepted accounting principles.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from 2021 to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5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r>
      <w:tr>
        <w:trPr>
          <w:trHeight w:val="16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losses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r>
      <w:tr>
        <w:trPr>
          <w:trHeight w:val="171"/>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71"/>
        </w:trPr>
        <w:tc>
          <w:tcPr>
            <w:tcW w:w="79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and redeemable noncontrolling interests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LLC</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50"/>
        </w:trPr>
        <w:tc>
          <w:tcPr>
            <w:tcW w:w="794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9"/>
        </w:trPr>
        <w:tc>
          <w:tcPr>
            <w:tcW w:w="7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68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 on derivatives and changes in accumulated OCI</w:t>
            </w:r>
          </w:p>
        </w:tc>
        <w:tc>
          <w:tcPr>
            <w:tcW w:w="6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 and redeemable noncontrolling interests</w:t>
            </w: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Clearway Energy LLC</w:t>
            </w:r>
          </w:p>
        </w:tc>
        <w:tc>
          <w:tcPr>
            <w:tcW w:w="68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70"/>
        </w:trPr>
        <w:tc>
          <w:tcPr>
            <w:tcW w:w="766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cash</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receivable — affiliates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Inventory</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0" w:type="dxa"/>
            <w:vAlign w:val="bottom"/>
          </w:tcPr>
          <w:p>
            <w:pPr>
              <w:spacing w:after="0"/>
              <w:rPr>
                <w:sz w:val="1"/>
                <w:szCs w:val="1"/>
                <w:color w:val="auto"/>
              </w:rPr>
            </w:pPr>
          </w:p>
        </w:tc>
      </w:tr>
      <w:tr>
        <w:trPr>
          <w:trHeight w:val="158"/>
        </w:trPr>
        <w:tc>
          <w:tcPr>
            <w:tcW w:w="7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9,944</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Intangible assets for power purchase agreements, net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Right-of-use assets, net</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other assets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3,318</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LIABILITIES AND MEMBERS’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portion of long-term debt — external</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portion of long-term debt — affiliate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 — trade</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 — affiliates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interest expense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0" w:type="dxa"/>
            <w:vAlign w:val="bottom"/>
          </w:tcPr>
          <w:p>
            <w:pPr>
              <w:spacing w:after="0"/>
              <w:rPr>
                <w:sz w:val="1"/>
                <w:szCs w:val="1"/>
                <w:color w:val="auto"/>
              </w:rPr>
            </w:pPr>
          </w:p>
        </w:tc>
      </w:tr>
      <w:tr>
        <w:trPr>
          <w:trHeight w:val="149"/>
        </w:trPr>
        <w:tc>
          <w:tcPr>
            <w:tcW w:w="76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Other Liabilities</w:t>
            </w: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debt — external</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lease liabilities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Total other liabilities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9,393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7,957</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8,679</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 noncontrolling interest in subsidiaries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Contributed capital</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(loss) income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Noncontrolling interest</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3,829</w:t>
            </w: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2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5,641</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16,444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14,320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7"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center"/>
              <w:ind w:left="4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20" w:type="dxa"/>
            <w:vAlign w:val="bottom"/>
            <w:tcBorders>
              <w:bottom w:val="single" w:sz="8" w:color="auto"/>
            </w:tcBorders>
          </w:tcPr>
          <w:p>
            <w:pPr>
              <w:spacing w:after="0"/>
              <w:rPr>
                <w:sz w:val="13"/>
                <w:szCs w:val="13"/>
                <w:color w:val="auto"/>
              </w:rPr>
            </w:pPr>
          </w:p>
        </w:tc>
      </w:tr>
      <w:tr>
        <w:trPr>
          <w:trHeight w:val="150"/>
        </w:trPr>
        <w:tc>
          <w:tcPr>
            <w:tcW w:w="8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9"/>
        </w:trPr>
        <w:tc>
          <w:tcPr>
            <w:tcW w:w="8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(In millions)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57"/>
        </w:trPr>
        <w:tc>
          <w:tcPr>
            <w:tcW w:w="8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Equity in earnings of unconsolidated affiliates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Distributions from unconsolidated affiliates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Depreciation, amortization and accretion</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Amortization of financing costs and debt discounts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Loss on debt extinguishment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Reduction in carrying amount of right-of-use assets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Impairment losses</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Changes in deferred income taxes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Changes in derivative instruments and amortization of accumulated OCI</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Changes in other working capital</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733</w:t>
            </w:r>
          </w:p>
        </w:tc>
      </w:tr>
      <w:tr>
        <w:trPr>
          <w:trHeight w:val="14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Acquisitions, net of cash acquired</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Acquisition of Drop Down Assets, net of cash acquired</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Proceeds from transfer of assets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Capital expenditures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Payment for equipment deposit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 for equipment deposit and asset purchase from affiliate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Return of investments from unconsolidated affiliates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(Increase) decrease in note receivable — affiliate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4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(725)</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w:t>
            </w:r>
          </w:p>
        </w:tc>
      </w:tr>
      <w:tr>
        <w:trPr>
          <w:trHeight w:val="14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Contributions from noncontrolling interests, net of distributions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Contributions from (distributions to) CEG, net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Contributions from Clearway, Inc.</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Proceeds from the issuance of Class C units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Payments of distributions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Pro-rata distributions to Clearway, Inc. and CEG</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Tax-related distributions</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Buyouts of noncontrolling interest and redeemable noncontrolling interest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Proceeds from the revolving credit facility</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Payments for the revolving credit facility</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Proceeds from issuance of long-term debt — external</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Proceeds from issuance of long-term debt — affiliate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Payments for long-term debt — external</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Payments for long-term debt — affiliate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Payments of debt issuance costs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(Used in) Financing Activities</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w:t>
            </w:r>
          </w:p>
        </w:tc>
      </w:tr>
      <w:tr>
        <w:trPr>
          <w:trHeight w:val="15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Increase (Decrease) in Cash, Cash Equivalents and Restricted Cash</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5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Beginning of Period</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996</w:t>
            </w:r>
          </w:p>
        </w:tc>
      </w:tr>
      <w:tr>
        <w:trPr>
          <w:trHeight w:val="17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5"/>
        </w:trPr>
        <w:tc>
          <w:tcPr>
            <w:tcW w:w="82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 paid, net of amount capitalized</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1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MEMBERS’ EQUITY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148"/>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center"/>
              <w:ind w:left="168"/>
              <w:spacing w:after="0" w:line="101" w:lineRule="exact"/>
              <w:rPr>
                <w:sz w:val="20"/>
                <w:szCs w:val="20"/>
                <w:color w:val="auto"/>
              </w:rPr>
            </w:pPr>
            <w:r>
              <w:rPr>
                <w:rFonts w:ascii="Times New Roman" w:cs="Times New Roman" w:eastAsia="Times New Roman" w:hAnsi="Times New Roman"/>
                <w:sz w:val="10"/>
                <w:szCs w:val="10"/>
                <w:b w:val="1"/>
                <w:bCs w:val="1"/>
                <w:color w:val="auto"/>
              </w:rPr>
              <w:t>Other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Contributed Capital</w:t>
            </w:r>
          </w:p>
        </w:tc>
        <w:tc>
          <w:tcPr>
            <w:tcW w:w="12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920" w:type="dxa"/>
            <w:vAlign w:val="bottom"/>
          </w:tcPr>
          <w:p>
            <w:pPr>
              <w:jc w:val="center"/>
              <w:ind w:left="168"/>
              <w:spacing w:after="0" w:line="96"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Noncontrolling Interest</w:t>
            </w: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5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20" w:type="dxa"/>
            <w:vAlign w:val="bottom"/>
          </w:tcPr>
          <w:p>
            <w:pPr>
              <w:jc w:val="center"/>
              <w:ind w:left="168"/>
              <w:spacing w:after="0"/>
              <w:rPr>
                <w:sz w:val="20"/>
                <w:szCs w:val="20"/>
                <w:color w:val="auto"/>
              </w:rPr>
            </w:pPr>
            <w:r>
              <w:rPr>
                <w:rFonts w:ascii="Times New Roman" w:cs="Times New Roman" w:eastAsia="Times New Roman" w:hAnsi="Times New Roman"/>
                <w:sz w:val="10"/>
                <w:szCs w:val="10"/>
                <w:b w:val="1"/>
                <w:bCs w:val="1"/>
                <w:color w:val="auto"/>
                <w:w w:val="96"/>
              </w:rPr>
              <w:t>Income (Loss)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Members’ Equity</w:t>
            </w:r>
          </w:p>
        </w:tc>
        <w:tc>
          <w:tcPr>
            <w:tcW w:w="0" w:type="dxa"/>
            <w:vAlign w:val="bottom"/>
          </w:tcPr>
          <w:p>
            <w:pPr>
              <w:spacing w:after="0"/>
              <w:rPr>
                <w:sz w:val="1"/>
                <w:szCs w:val="1"/>
                <w:color w:val="auto"/>
              </w:rPr>
            </w:pPr>
          </w:p>
        </w:tc>
      </w:tr>
      <w:tr>
        <w:trPr>
          <w:trHeight w:val="154"/>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1,308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1,240</w:t>
            </w: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4,160</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Unrealized loss on derivatives and changes in accumulated OCI</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CEG, cash</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Clearway, Inc., non-cash</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Buyout of noncontrolling interest</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Buyout of redeemable noncontrolling interest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paid to Clearway, Inc.</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paid to CEG Class B and Class D unit holders</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0" w:type="dxa"/>
            <w:vAlign w:val="bottom"/>
          </w:tcPr>
          <w:p>
            <w:pPr>
              <w:spacing w:after="0"/>
              <w:rPr>
                <w:sz w:val="1"/>
                <w:szCs w:val="1"/>
                <w:color w:val="auto"/>
              </w:rPr>
            </w:pPr>
          </w:p>
        </w:tc>
      </w:tr>
      <w:tr>
        <w:trPr>
          <w:trHeight w:val="144"/>
        </w:trPr>
        <w:tc>
          <w:tcPr>
            <w:tcW w:w="5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2023</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1,299</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1,027</w:t>
            </w: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5,105</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Unrealized (loss) gain on derivatives and changes in accumulated OCI</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CEG, cash</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Buyout of noncontrolling interest</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Buyout of redeemable noncontrolling interest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paid to Clearway, Inc.</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paid to CEG Class B and Class D unit holders</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6"/>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2024</w:t>
            </w: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911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5,641</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Unrealized loss on derivatives and changes in accumulated OCI</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Contributions from CEG, net of distributions, cash</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Clearway, Inc., cash</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Pro-rata distributions to Clearway, Inc., cash</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Pro-rata distributions to CEG, cash</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Buyout of noncontrolling interest</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Proceeds from the issuance of Class C units</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paid to Clearway, Inc.</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paid to CEG Class B and Class D unit holders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0" w:type="dxa"/>
            <w:vAlign w:val="bottom"/>
          </w:tcPr>
          <w:p>
            <w:pPr>
              <w:spacing w:after="0"/>
              <w:rPr>
                <w:sz w:val="1"/>
                <w:szCs w:val="1"/>
                <w:color w:val="auto"/>
              </w:rPr>
            </w:pPr>
          </w:p>
        </w:tc>
      </w:tr>
      <w:tr>
        <w:trPr>
          <w:trHeight w:val="159"/>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6"/>
        </w:trPr>
        <w:tc>
          <w:tcPr>
            <w:tcW w:w="5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2025</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641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875</w:t>
            </w:r>
          </w:p>
        </w:tc>
        <w:tc>
          <w:tcPr>
            <w:tcW w:w="1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(10)</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4,419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5,925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r>
        <w:rPr>
          <w:rFonts w:ascii="Times New Roman" w:cs="Times New Roman" w:eastAsia="Times New Roman" w:hAnsi="Times New Roman"/>
          <w:sz w:val="11"/>
          <w:szCs w:val="11"/>
          <w:i w:val="1"/>
          <w:iCs w:val="1"/>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Nature of Business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unit holders with stable and growing distributions.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 From time to time, CEG may also hold shares of Clearway, Inc.’s Class A and/or Class C common stock.</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2025, Clearway, Inc. owned 58.62% of the economic interests of the Company, with CEG owning 41.38% of the economic interests of the Company. For further discussion, see Note 11, </w:t>
      </w:r>
      <w:r>
        <w:rPr>
          <w:rFonts w:ascii="Times New Roman" w:cs="Times New Roman" w:eastAsia="Times New Roman" w:hAnsi="Times New Roman"/>
          <w:sz w:val="14"/>
          <w:szCs w:val="14"/>
          <w:i w:val="1"/>
          <w:iCs w:val="1"/>
          <w:color w:val="auto"/>
        </w:rPr>
        <w:t>Members’ Equity.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diagram below represents a summarized structure of the Company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2674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0819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consolidated financial statements have been prepared in accordance with GAAP. The FASB ASC is the source of authoritative GAAP to be applied by nongovernmental entities.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rules and interpretative releases of the SEC under authority of federal securities laws are also sources of authoritative GAAP for SEC registrants.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2" w:name="page103"/>
    <w:bookmarkEnd w:id="102"/>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the majority of the voting interests of an entity. However, a controlling financial interest may also exist through arrangements that do not involve controlling voting interests. As such, the Company applies the guidance of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xml:space="preserve"> to determine when an entity that is insufficiently capitalized or not controlled through its voting interests, referred to as a variable interest entity, or VIE, should be consolidated.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subsidiary facilities was $194 million as of both December 31, 2025 and 2024.</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6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r>
      <w:tr>
        <w:trPr>
          <w:trHeight w:val="154"/>
        </w:trPr>
        <w:tc>
          <w:tcPr>
            <w:tcW w:w="8680" w:type="dxa"/>
            <w:vAlign w:val="bottom"/>
          </w:tcPr>
          <w:p>
            <w:pPr>
              <w:spacing w:after="0"/>
              <w:rPr>
                <w:sz w:val="13"/>
                <w:szCs w:val="13"/>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60" w:type="dxa"/>
            <w:vAlign w:val="bottom"/>
          </w:tcPr>
          <w:p>
            <w:pPr>
              <w:spacing w:after="0"/>
              <w:rPr>
                <w:sz w:val="13"/>
                <w:szCs w:val="13"/>
                <w:color w:val="auto"/>
              </w:rPr>
            </w:pPr>
          </w:p>
        </w:tc>
      </w:tr>
      <w:tr>
        <w:trPr>
          <w:trHeight w:val="18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18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196"/>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facilities that are restricted in their use.</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2025, these restricted funds were comprised of $146 million designated to fund operating expenses, $99 million designated for current debt service payments and $85 million restricted for reserves, including debt service, performance obligations and other reserves as well as capital expenditures. The remaining $257 million is held in distribution reserve accounts, of which $174 million relates to transferable ITCs for the Rosamond South I solar and BESS facility that were received on behalf of the tax equity investor in Rosie South TE Holdco LLC and subsequently distributed to the tax equity investor in January 2026.</w:t>
      </w:r>
    </w:p>
    <w:p>
      <w:pPr>
        <w:spacing w:after="0" w:line="98"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As of December 31, 2024, these restricted funds were comprised of $184 million designated to fund operating expenses, $37 million designated for current debt service payments and $102 million restricted for reserves, including debt service, performance obligations and other reserves as well as capital expenditures. The remaining $78 million was held in distribution reserve accounts.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a disaggregation of the amounts classified as Acquisition of Drop Down Assets, net of cash acquired, shown in the consolidated statements of cash flows: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6540" w:type="dxa"/>
            <w:vAlign w:val="bottom"/>
          </w:tcPr>
          <w:p>
            <w:pPr>
              <w:spacing w:after="0"/>
              <w:rPr>
                <w:sz w:val="13"/>
                <w:szCs w:val="13"/>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to acquire Drop Down Assets</w:t>
            </w: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acquired from the acquisition of Drop Down Assets</w:t>
            </w: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96"/>
        </w:trPr>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 Trade and Allowance for Credit Losses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Accounts receivable — trade are reported on the consolidated balance sheet at the invoiced amount adjusted for any write-offs and the allowance for credit losses. The majority of the Company’s customers typically receive invoices monthly with payment due within 30 days. The allowance for credit losses is reviewed periodically based on amounts past due and their significance. The allowance for credit losses was immaterial as of December 31, 2025 and 2024.</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Interest incurred on funds borrowed to finance capital projects is capitalized until the project under construction is ready for its intended use. The amount of interest capitalized for the years ended December 31, 2025, 2024 and 2023 was $51 million, $28 million and $36 million,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Impairments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Long-lived assets that are held and used are reviewed for impairment whenever events or changes in circumstances indicate their carrying amounts may not be recoverable. Such reviews are performed in accordance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xml:space="preserve">. An impairment loss is indicated if the total future estimated undiscounted cash flows expected from an asset are less than its carrying amount. An impairment charge is measured as the excess of an asset’s carrying amount over its fair value with the difference recorded in operating costs and expenses in the consolidated statements of operations. Fair values are determined by a variety of valuation methods, including appraisals, sales prices of similar assets and present value techniques. For further discussion of the Company’s long-lived asset impairments, refer to Note 9, </w:t>
      </w:r>
      <w:r>
        <w:rPr>
          <w:rFonts w:ascii="Times New Roman" w:cs="Times New Roman" w:eastAsia="Times New Roman" w:hAnsi="Times New Roman"/>
          <w:sz w:val="14"/>
          <w:szCs w:val="14"/>
          <w:i w:val="1"/>
          <w:iCs w:val="1"/>
          <w:color w:val="auto"/>
        </w:rPr>
        <w:t>Asset Impairments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Investments accounted for by the equity method are reviewed for impairment in accordance with ASC 323, </w:t>
      </w:r>
      <w:r>
        <w:rPr>
          <w:rFonts w:ascii="Times New Roman" w:cs="Times New Roman" w:eastAsia="Times New Roman" w:hAnsi="Times New Roman"/>
          <w:sz w:val="14"/>
          <w:szCs w:val="14"/>
          <w:i w:val="1"/>
          <w:iCs w:val="1"/>
          <w:color w:val="auto"/>
        </w:rPr>
        <w:t>Investments-Equity Method and Joint Ventures</w:t>
      </w:r>
      <w:r>
        <w:rPr>
          <w:rFonts w:ascii="Times New Roman" w:cs="Times New Roman" w:eastAsia="Times New Roman" w:hAnsi="Times New Roman"/>
          <w:sz w:val="14"/>
          <w:szCs w:val="14"/>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Intangible assets represent contractual rights held by the Company. The Company recognizes specifically identifiable intangible assets, including PPAs,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Times New Roman" w:cs="Times New Roman" w:eastAsia="Times New Roman" w:hAnsi="Times New Roman"/>
          <w:sz w:val="14"/>
          <w:szCs w:val="14"/>
          <w:i w:val="1"/>
          <w:iCs w:val="1"/>
          <w:color w:val="auto"/>
        </w:rPr>
        <w:t>Intangible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is classified as a partnership for federal and state income tax purposes. Therefore, federal and most state income taxes are assessed at the partner level. The franchise tax imposed by the state of Texas, however, is being assessed at the level of certain operating subsidiaries of the Company, and therefore reflected as an income tax expense or benefit of the Company.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4" w:name="page105"/>
    <w:bookmarkEnd w:id="104"/>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2025, the Company recorded a deferred tax benefit of $1 million, which resulted in a cumulative deferred tax liability of $2 million with respect to future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2024, the Company recorded a deferred tax expense of $1 million, which resulted in a cumulative deferred tax liability of $3 million with respect to future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Revenue from Contracts with Customers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applies the guidance in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Flexible Generation Segment Revenues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majority of the facilities in the Flexible Generation segment commenced merchant operations during 2023 following the expiration of the PPAs. These facilities generate revenues from selling electricity and/or RA to the CAISO and to public utility and load serving entities, as the power is delivered at the interconnection point.</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Power Purchase Agreements, or PPAs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The majority of the Company’s revenues are obtained through PPAs or similar contractual agreements. Energy, capacity and, where applicable, renewable attributes, from the majority of the Company’s renewable energy assets and certain facilities in the Flexible Generation segment are sold through long-term PPAs and tolling agreements to a single counterparty, which is often a utility or commercial customer. Certain revenue agreements also provide for the sale of BESS capacity. As discussed above, the majority of the facilities in the Flexible Generation segment commenced merchant operations during 2023 following the expiration of the PPAs.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ASC 842 requires the minimum lease payments received to be amortized over the term of the lease and contingent rentals are recorded when the achievement of the contingency becomes probable. The Company’s BESS arrangements include variable payments not based on an index or rate and sales-type lease treatment would result in a loss at lease commencement. As a result, the Company accounts for these arrangements as operating leases under ASC 842.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finance lease.</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2025, 2024 and 2023 was $797 million, $831 million and $780 million, respectively. See Note 15,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additional information related to the Company’s PPAs accounted for as leases.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Renewable Energy Credits, or RECs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unnecessary to allocate transaction price to multiple performance obligations.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5" w:name="page106"/>
    <w:bookmarkEnd w:id="105"/>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along with the reportable segment for each category: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4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380" w:type="dxa"/>
            <w:vAlign w:val="bottom"/>
          </w:tcPr>
          <w:p>
            <w:pPr>
              <w:spacing w:after="0"/>
              <w:rPr>
                <w:sz w:val="13"/>
                <w:szCs w:val="13"/>
                <w:color w:val="auto"/>
              </w:rPr>
            </w:pPr>
          </w:p>
        </w:tc>
        <w:tc>
          <w:tcPr>
            <w:tcW w:w="1180" w:type="dxa"/>
            <w:vAlign w:val="bottom"/>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6480" w:type="dxa"/>
            <w:vAlign w:val="bottom"/>
            <w:tcBorders>
              <w:top w:val="single" w:sz="8" w:color="CCEEFF"/>
            </w:tcBorders>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w:t>
            </w:r>
          </w:p>
        </w:tc>
      </w:tr>
      <w:tr>
        <w:trPr>
          <w:trHeight w:val="170"/>
        </w:trPr>
        <w:tc>
          <w:tcPr>
            <w:tcW w:w="648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r>
      <w:tr>
        <w:trPr>
          <w:trHeight w:val="17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6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8"/>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6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r>
      <w:tr>
        <w:trPr>
          <w:trHeight w:val="160"/>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w:t>
            </w:r>
          </w:p>
        </w:tc>
      </w:tr>
      <w:tr>
        <w:trPr>
          <w:trHeight w:val="20"/>
        </w:trPr>
        <w:tc>
          <w:tcPr>
            <w:tcW w:w="2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9"/>
        </w:trPr>
        <w:tc>
          <w:tcPr>
            <w:tcW w:w="220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37" w:lineRule="exact"/>
        <w:rPr>
          <w:sz w:val="20"/>
          <w:szCs w:val="20"/>
          <w:color w:val="auto"/>
        </w:rPr>
      </w:pPr>
    </w:p>
    <w:p>
      <w:pPr>
        <w:ind w:left="200" w:hanging="131"/>
        <w:spacing w:after="0"/>
        <w:tabs>
          <w:tab w:leader="none" w:pos="200" w:val="left"/>
        </w:tabs>
        <w:numPr>
          <w:ilvl w:val="0"/>
          <w:numId w:val="5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15,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3"/>
          <w:szCs w:val="13"/>
          <w:color w:val="auto"/>
        </w:rPr>
        <w:t>for the</w:t>
      </w:r>
      <w:r>
        <w:rPr>
          <w:rFonts w:ascii="Times New Roman" w:cs="Times New Roman" w:eastAsia="Times New Roman" w:hAnsi="Times New Roman"/>
          <w:sz w:val="12"/>
          <w:szCs w:val="12"/>
          <w:color w:val="auto"/>
        </w:rPr>
        <w:t xml:space="preserve"> amounts of energy and capacity revenues that relate to leases and are accounted for under ASC 842.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34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340" w:type="dxa"/>
            <w:vAlign w:val="bottom"/>
          </w:tcPr>
          <w:p>
            <w:pPr>
              <w:spacing w:after="0"/>
              <w:rPr>
                <w:sz w:val="13"/>
                <w:szCs w:val="13"/>
                <w:color w:val="auto"/>
              </w:rPr>
            </w:pPr>
          </w:p>
        </w:tc>
        <w:tc>
          <w:tcPr>
            <w:tcW w:w="1120" w:type="dxa"/>
            <w:vAlign w:val="bottom"/>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6580" w:type="dxa"/>
            <w:vAlign w:val="bottom"/>
            <w:tcBorders>
              <w:top w:val="single" w:sz="8" w:color="CCEEFF"/>
            </w:tcBorders>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w:t>
            </w:r>
          </w:p>
        </w:tc>
      </w:tr>
      <w:tr>
        <w:trPr>
          <w:trHeight w:val="170"/>
        </w:trPr>
        <w:tc>
          <w:tcPr>
            <w:tcW w:w="658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r>
      <w:tr>
        <w:trPr>
          <w:trHeight w:val="170"/>
        </w:trPr>
        <w:tc>
          <w:tcPr>
            <w:tcW w:w="658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Other revenues </w:t>
            </w:r>
            <w:r>
              <w:rPr>
                <w:rFonts w:ascii="Times New Roman" w:cs="Times New Roman" w:eastAsia="Times New Roman" w:hAnsi="Times New Roman"/>
                <w:sz w:val="16"/>
                <w:szCs w:val="16"/>
                <w:color w:val="auto"/>
                <w:vertAlign w:val="superscript"/>
              </w:rPr>
              <w:t>(a)</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7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8"/>
        </w:trPr>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r>
      <w:tr>
        <w:trPr>
          <w:trHeight w:val="17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68"/>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r>
      <w:tr>
        <w:trPr>
          <w:trHeight w:val="160"/>
        </w:trPr>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w:t>
            </w:r>
          </w:p>
        </w:tc>
      </w:tr>
      <w:tr>
        <w:trPr>
          <w:trHeight w:val="20"/>
        </w:trPr>
        <w:tc>
          <w:tcPr>
            <w:tcW w:w="2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99"/>
        </w:trPr>
        <w:tc>
          <w:tcPr>
            <w:tcW w:w="22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r>
    </w:tbl>
    <w:p>
      <w:pPr>
        <w:spacing w:after="0" w:line="33" w:lineRule="exact"/>
        <w:rPr>
          <w:sz w:val="20"/>
          <w:szCs w:val="20"/>
          <w:color w:val="auto"/>
        </w:rPr>
      </w:pPr>
    </w:p>
    <w:p>
      <w:pPr>
        <w:ind w:left="200" w:hanging="131"/>
        <w:spacing w:after="0"/>
        <w:tabs>
          <w:tab w:leader="none" w:pos="200" w:val="left"/>
        </w:tabs>
        <w:numPr>
          <w:ilvl w:val="0"/>
          <w:numId w:val="5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15,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for the amounts of energy, capacity and other revenues that relate to leases and are accounted for under ASC 842.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6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6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360" w:type="dxa"/>
            <w:vAlign w:val="bottom"/>
          </w:tcPr>
          <w:p>
            <w:pPr>
              <w:spacing w:after="0"/>
              <w:rPr>
                <w:sz w:val="13"/>
                <w:szCs w:val="13"/>
                <w:color w:val="auto"/>
              </w:rPr>
            </w:pPr>
          </w:p>
        </w:tc>
        <w:tc>
          <w:tcPr>
            <w:tcW w:w="1160" w:type="dxa"/>
            <w:vAlign w:val="bottom"/>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652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r>
      <w:tr>
        <w:trPr>
          <w:trHeight w:val="170"/>
        </w:trPr>
        <w:tc>
          <w:tcPr>
            <w:tcW w:w="6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r>
      <w:tr>
        <w:trPr>
          <w:trHeight w:val="17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8"/>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7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8"/>
        </w:trPr>
        <w:tc>
          <w:tcPr>
            <w:tcW w:w="6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r>
      <w:tr>
        <w:trPr>
          <w:trHeight w:val="17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68"/>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w:t>
            </w:r>
          </w:p>
        </w:tc>
      </w:tr>
      <w:tr>
        <w:trPr>
          <w:trHeight w:val="163"/>
        </w:trPr>
        <w:tc>
          <w:tcPr>
            <w:tcW w:w="6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15,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for the amounts of energy and capacity revenues that relate to leases and are accounted for under ASC 842.</w:t>
      </w:r>
    </w:p>
    <w:p>
      <w:pPr>
        <w:spacing w:after="0" w:line="200" w:lineRule="exact"/>
        <w:rPr>
          <w:rFonts w:ascii="Times New Roman" w:cs="Times New Roman" w:eastAsia="Times New Roman" w:hAnsi="Times New Roman"/>
          <w:sz w:val="17"/>
          <w:szCs w:val="17"/>
          <w:color w:val="auto"/>
          <w:vertAlign w:val="superscript"/>
        </w:rPr>
      </w:pPr>
    </w:p>
    <w:p>
      <w:pPr>
        <w:spacing w:after="0" w:line="352" w:lineRule="exact"/>
        <w:rPr>
          <w:rFonts w:ascii="Times New Roman" w:cs="Times New Roman" w:eastAsia="Times New Roman" w:hAnsi="Times New Roman"/>
          <w:sz w:val="17"/>
          <w:szCs w:val="17"/>
          <w:color w:val="auto"/>
          <w:vertAlign w:val="superscript"/>
        </w:rPr>
      </w:pPr>
    </w:p>
    <w:p>
      <w:pPr>
        <w:ind w:left="554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6" w:name="page107"/>
    <w:bookmarkEnd w:id="106"/>
    <w:p>
      <w:pPr>
        <w:ind w:left="320"/>
        <w:spacing w:after="0"/>
        <w:rPr>
          <w:sz w:val="20"/>
          <w:szCs w:val="20"/>
          <w:color w:val="auto"/>
        </w:rPr>
      </w:pPr>
      <w:r>
        <w:rPr>
          <w:rFonts w:ascii="Times New Roman" w:cs="Times New Roman" w:eastAsia="Times New Roman" w:hAnsi="Times New Roman"/>
          <w:sz w:val="14"/>
          <w:szCs w:val="14"/>
          <w:i w:val="1"/>
          <w:iCs w:val="1"/>
          <w:color w:val="auto"/>
        </w:rPr>
        <w:t>Contract Amortization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contract assets included on the Company’s consolidated balance sheets: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20" w:type="dxa"/>
            <w:vAlign w:val="bottom"/>
          </w:tcPr>
          <w:p>
            <w:pPr>
              <w:spacing w:after="0"/>
              <w:rPr>
                <w:sz w:val="13"/>
                <w:szCs w:val="13"/>
                <w:color w:val="auto"/>
              </w:rPr>
            </w:pPr>
          </w:p>
        </w:tc>
        <w:tc>
          <w:tcPr>
            <w:tcW w:w="142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0"/>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 - Contracts with customers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Accounts receivable, net - Leases</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88"/>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accounts receivable, net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derivative financial instruments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deferred and recorded as a component of accumulated OCI/OCL until the hedged transactions occur and are recognized in earnings.</w:t>
      </w:r>
    </w:p>
    <w:p>
      <w:pPr>
        <w:spacing w:after="0" w:line="51"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Company’s primary derivative financial instruments are interest rate instruments used to mitigate variability in earnings due to fluctuations in interest rates and energy-related instruments used to mitigate variability in earnings due to fluctuations in power market prices or natural gas market prices.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OCI/OCL would be frozen until the underlying hedged item is delivered unless the transaction being hedged is no longer probable of occurring in which case the amount in accumulated OCI/OCL would be immediately reclassified into earnings. If the derivative financial instrument is terminated, the effective portion of this derivative deferred in accumulated OCI/OCL will be frozen until the underlying hedged item is delivered.</w:t>
      </w:r>
    </w:p>
    <w:p>
      <w:pPr>
        <w:spacing w:after="0" w:line="10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flows from derivative financial instruments, including derivatives designated as cash flow hedges and derivatives not designated as cash flow hedges, are classified as operating activities in the consolidated statements of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Financial instruments which potentially subject the Company to concentrations of credit risk consist primarily of accounts receivable — trade and derivative financial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facilities have only one customer. See Note 6, </w:t>
      </w:r>
      <w:r>
        <w:rPr>
          <w:rFonts w:ascii="Times New Roman" w:cs="Times New Roman" w:eastAsia="Times New Roman" w:hAnsi="Times New Roman"/>
          <w:sz w:val="14"/>
          <w:szCs w:val="14"/>
          <w:i w:val="1"/>
          <w:iCs w:val="1"/>
          <w:color w:val="auto"/>
        </w:rPr>
        <w:t>Fair Value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Instruments, </w:t>
      </w:r>
      <w:r>
        <w:rPr>
          <w:rFonts w:ascii="Times New Roman" w:cs="Times New Roman" w:eastAsia="Times New Roman" w:hAnsi="Times New Roman"/>
          <w:sz w:val="14"/>
          <w:szCs w:val="14"/>
          <w:color w:val="auto"/>
        </w:rPr>
        <w:t>for a further discussion of derivative concentrations and Note 12,</w:t>
      </w:r>
      <w:r>
        <w:rPr>
          <w:rFonts w:ascii="Times New Roman" w:cs="Times New Roman" w:eastAsia="Times New Roman" w:hAnsi="Times New Roman"/>
          <w:sz w:val="14"/>
          <w:szCs w:val="14"/>
          <w:i w:val="1"/>
          <w:iCs w:val="1"/>
          <w:color w:val="auto"/>
        </w:rPr>
        <w:t xml:space="preserve"> Segment Reporting, </w:t>
      </w:r>
      <w:r>
        <w:rPr>
          <w:rFonts w:ascii="Times New Roman" w:cs="Times New Roman" w:eastAsia="Times New Roman" w:hAnsi="Times New Roman"/>
          <w:sz w:val="14"/>
          <w:szCs w:val="14"/>
          <w:color w:val="auto"/>
        </w:rPr>
        <w:t>for concentration of counterparties.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carrying amount of cash and cash equivalents, restricted cash, accounts receivable — trade, accounts receivable — affiliates accounts payable — trade, accounts payable — affiliates and accrued expenses and other current liabilities approximate fair value because of the short-term maturity of these instruments. 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a further discussion of fair value of financial instruments.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Obligations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Asset retirement obligations, or AROs, are accounted for in accordance with ASC 410-20, </w:t>
      </w:r>
      <w:r>
        <w:rPr>
          <w:rFonts w:ascii="Times New Roman" w:cs="Times New Roman" w:eastAsia="Times New Roman" w:hAnsi="Times New Roman"/>
          <w:sz w:val="14"/>
          <w:szCs w:val="14"/>
          <w:i w:val="1"/>
          <w:iCs w:val="1"/>
          <w:color w:val="auto"/>
        </w:rPr>
        <w:t>Asset Retirement Obligations,</w:t>
      </w:r>
      <w:r>
        <w:rPr>
          <w:rFonts w:ascii="Times New Roman" w:cs="Times New Roman" w:eastAsia="Times New Roman" w:hAnsi="Times New Roman"/>
          <w:sz w:val="14"/>
          <w:szCs w:val="14"/>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9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represents the balance of AROs, along with the related activity: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incurred</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Liabilities settled</w:t>
            </w: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Accretion expense</w:t>
            </w:r>
          </w:p>
        </w:tc>
        <w:tc>
          <w:tcPr>
            <w:tcW w:w="7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Liabilities incurred</w:t>
            </w: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settled</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9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Accretion expense</w:t>
            </w: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6"/>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Accounted for by the Equity Method</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has investments in various energy facilities accounted for by the equity method, several of which are VIEs, where the Company is not a primary beneficiary, as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equity method of accounting is applied to these investments in affiliates because the ownership structure prevents the Company from exercising a controlling influence over the operating and financial policies of the facilities.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i w:val="1"/>
          <w:iCs w:val="1"/>
          <w:color w:val="auto"/>
        </w:rPr>
        <w:t>Sale-Leaseback Arrangements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party to sale-leaseback arrangements that provide for the sale of certain assets to a third-party and simultaneous leaseback to the Company. In accordance with ASC 842-40, </w:t>
      </w:r>
      <w:r>
        <w:rPr>
          <w:rFonts w:ascii="Times New Roman" w:cs="Times New Roman" w:eastAsia="Times New Roman" w:hAnsi="Times New Roman"/>
          <w:sz w:val="14"/>
          <w:szCs w:val="14"/>
          <w:i w:val="1"/>
          <w:iCs w:val="1"/>
          <w:color w:val="auto"/>
        </w:rPr>
        <w:t>Sale-Leaseback Transactions</w:t>
      </w:r>
      <w:r>
        <w:rPr>
          <w:rFonts w:ascii="Times New Roman" w:cs="Times New Roman" w:eastAsia="Times New Roman" w:hAnsi="Times New Roman"/>
          <w:sz w:val="14"/>
          <w:szCs w:val="14"/>
          <w:color w:val="auto"/>
        </w:rPr>
        <w:t>, if the seller-lessee retains, through the leaseback, substantially all of the benefits and risks incident to the ownership of the property sold, the sale-leaseback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Acquisitions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its acquisitions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contributed capital.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Equity Arrangements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Certain portions of the Company’s redeemable noncontrolling interest in subsidiaries and noncontrolling interest represent third-party interests in the net assets under tax equity arrangements, which are consolidated by the Company, that have been entered into to finance the cost of facilities eligible for certain tax credits and benefits. The Company has determined that the provisions in the contractual agreements of these redeemable noncontrolling interests and noncontrolling interests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hypothetical liquidation at book value, or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operations using a systematic and rational method over the period during which the investor is expected to achieve its target return.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i w:val="1"/>
          <w:iCs w:val="1"/>
          <w:color w:val="auto"/>
        </w:rPr>
        <w:t>Redeemable Noncontrolling Interest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To the extent that a third party has the right to redeem their interests for cash or other assets, the Company has included the noncontrolling interest attributable to the third party as a component of temporary equity in the mezzanine section of the consolidated balance sheet. In 2025, the Company entered into new tax equity arrangements that provide third parties with the right to redeem their interests in the partnerships for cash or other assets at a point in time,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following table reflects the changes in the Company’s redeemable noncontrolling interest balance: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distributions to redeemable noncontrolling interests</w:t>
            </w:r>
          </w:p>
        </w:tc>
        <w:tc>
          <w:tcPr>
            <w:tcW w:w="4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 attributable to redeemable noncontrolling interests</w:t>
            </w:r>
          </w:p>
        </w:tc>
        <w:tc>
          <w:tcPr>
            <w:tcW w:w="48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8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Repurchase of redeemable noncontrolling interest</w:t>
            </w:r>
          </w:p>
        </w:tc>
        <w:tc>
          <w:tcPr>
            <w:tcW w:w="4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4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contributions to redeemable noncontrolling interests, net of distributions</w:t>
            </w:r>
          </w:p>
        </w:tc>
        <w:tc>
          <w:tcPr>
            <w:tcW w:w="4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8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distributions to redeemable noncontrolling interests</w:t>
            </w:r>
          </w:p>
        </w:tc>
        <w:tc>
          <w:tcPr>
            <w:tcW w:w="48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8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Comprehensive loss attributable to redeemable noncontrolling interests</w:t>
            </w:r>
          </w:p>
        </w:tc>
        <w:tc>
          <w:tcPr>
            <w:tcW w:w="4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96"/>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recording transactions and balances resulting from business operations, the Company uses estimates based on the best information available. Estimates are used for such items as plant depreciable lives,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Standards Not Yet Adopted</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In December 2025, the FASB issued ASU No 2025-10, </w:t>
      </w:r>
      <w:r>
        <w:rPr>
          <w:rFonts w:ascii="Times New Roman" w:cs="Times New Roman" w:eastAsia="Times New Roman" w:hAnsi="Times New Roman"/>
          <w:sz w:val="14"/>
          <w:szCs w:val="14"/>
          <w:i w:val="1"/>
          <w:iCs w:val="1"/>
          <w:color w:val="auto"/>
        </w:rPr>
        <w:t>Government Grants - (Topic 832): Accounting for Government Grants Received by Business Entities.</w:t>
      </w:r>
      <w:r>
        <w:rPr>
          <w:rFonts w:ascii="Times New Roman" w:cs="Times New Roman" w:eastAsia="Times New Roman" w:hAnsi="Times New Roman"/>
          <w:sz w:val="14"/>
          <w:szCs w:val="14"/>
          <w:color w:val="auto"/>
        </w:rPr>
        <w:t xml:space="preserve"> The amendment establishes the accounting guidance for governmental grants received by a business entity. This guidance is effective for annual reporting periods beginning after December 15, 2028 and interim reporting periods within the annual reporting period. The amendment may be applied on a modified prospective approach, a modified retrospective approach or retrospectively. Early adoption is permitted in both interim and annual reporting periods. As of December 31, 2025, the Company has not elected to early adopt the standard and is evaluating the effect of the new guidance on its consolidated financial statements.</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2025-06, </w:t>
      </w:r>
      <w:r>
        <w:rPr>
          <w:rFonts w:ascii="Times New Roman" w:cs="Times New Roman" w:eastAsia="Times New Roman" w:hAnsi="Times New Roman"/>
          <w:sz w:val="14"/>
          <w:szCs w:val="14"/>
          <w:i w:val="1"/>
          <w:iCs w:val="1"/>
          <w:color w:val="auto"/>
        </w:rPr>
        <w:t>Intangibles - Goodwill and Other - Internal-Use Software (Subtopic 350-40): 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The amendment clarifies when software costs should be capitalized and requires certain disclosures for all capitalized internal-use software costs. This guidance may be applied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prospectively, retrospectively or on a modified retrospective basis and is effective for annual reporting periods in fiscal years beginning after December 15, 2027. The Company intends to early adopt ASU 2025-06 prospectively, effective January 1, 2026. The adoption is not expected to have an impact on the Company’s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0" w:name="page111"/>
    <w:bookmarkEnd w:id="110"/>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2025-07, </w:t>
      </w:r>
      <w:r>
        <w:rPr>
          <w:rFonts w:ascii="Times New Roman" w:cs="Times New Roman" w:eastAsia="Times New Roman" w:hAnsi="Times New Roman"/>
          <w:sz w:val="14"/>
          <w:szCs w:val="14"/>
          <w:i w:val="1"/>
          <w:iCs w:val="1"/>
          <w:color w:val="auto"/>
        </w:rPr>
        <w:t>Derivatives and Hedging (Topic 815) and Revenue from Contracts with Customers (Topic 606): Derivatives Scope Refinements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Scope Clarification for Share-Based Noncash Consideration from a Customer in a Revenue Contract. </w:t>
      </w:r>
      <w:r>
        <w:rPr>
          <w:rFonts w:ascii="Times New Roman" w:cs="Times New Roman" w:eastAsia="Times New Roman" w:hAnsi="Times New Roman"/>
          <w:sz w:val="14"/>
          <w:szCs w:val="14"/>
          <w:color w:val="auto"/>
        </w:rPr>
        <w:t>The amendment expands the derivative scope exceptions and clarifies when an entity should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apply the guidance in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to contracts with share-based noncash consideration from a customer for the transfer of goods or services. This guidance may be applied either prospectively or on a modified retrospective basis and is effective for annual reporting periods in fiscal years beginning after December 15, 2026. The Company intends to early adopt ASU 2025-07 prospectively, effective January 1, 2026. The adoption is not expected to have an impact on the Company’s financial statements.</w:t>
      </w:r>
    </w:p>
    <w:p>
      <w:pPr>
        <w:spacing w:after="0" w:line="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In November 2024, the FASB issued ASU No 2024-03</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Statement - Reporting Comprehensive Income-Expense Disaggregation Disclosures (Subtopic 220-40).</w:t>
      </w:r>
      <w:r>
        <w:rPr>
          <w:rFonts w:ascii="Times New Roman" w:cs="Times New Roman" w:eastAsia="Times New Roman" w:hAnsi="Times New Roman"/>
          <w:sz w:val="14"/>
          <w:szCs w:val="14"/>
          <w:color w:val="auto"/>
        </w:rPr>
        <w:t xml:space="preserve"> The amendment requires certain expenses presented on the face of the income statement to be disaggregated in the notes to the financial statements. This guidance is effective for annual reporting periods beginning after December 15, 2026 and interim periods within annual reporting periods beginning after December 15, 2027. The amendments may be applied either prospectively to financial statements issued for reporting periods after the effective date of this ASU or retrospectively to all prior periods presented in the financial statements. As of December 31, 2025, the Company has not elected to early adopt the standard and is evaluating the effect of the new guidance on its consolidated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Acquisitions and Dispositions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As further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Company records the assets acquired and liabilities assumed at acquisition-date fair value, except in the case of acquisitions under common control by CEG, for which assets acquired and liabilities assumed are recorded at historical cost on the acquisition date, which, in certain circumstances, represent the acquired cost.</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property, plant and equipment for the Company’s third-party acquisition of Tuolumne was determined primarily based on an income method using discounted cash flows and validated using a cost approach based on the replacement cost of the assets less economic depreciation. This methodology was utilized as the forecasted cash flows incorporate specific attributes including age, useful life, equipment condition and technology. The fair value of intangible assets for power purchase agreements related to the Company’s third-party acquisitions of Tuolumne and Catalina were determined utilizing a variation of the income approach determined by discounting the replacement market price of the incremental cash flows associated with the contract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Pine Forest Drop Down </w:t>
      </w:r>
      <w:r>
        <w:rPr>
          <w:rFonts w:ascii="Times New Roman" w:cs="Times New Roman" w:eastAsia="Times New Roman" w:hAnsi="Times New Roman"/>
          <w:sz w:val="14"/>
          <w:szCs w:val="14"/>
          <w:color w:val="auto"/>
        </w:rPr>
        <w:t>— On June 10, 2025, the Company, through its indirect subsidiary, Pine Forest CE Class A Owner LLC, acquired the Class A membership interests in Pine Forest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TargetCo, a partnership and the indirect owner of Pine Forest, a 300 MW solar facility that is paired with a 200 MW BESS facility located in Hopkins County, Texas, from Clearway Renew for initial cash consideration of $18 million. Simultaneously, a third-party cash equity investor acquired the Class B membership interests in Pine Forest TargetCo from Clearway Renew for initial cash consideration of $36 million. Also on June 10, 2025, Clearway, Inc., through its indirect subsidiary, Pine Forest TE Class A, contributed $9 million to acquire the Class A membership interests in Pine Forest TE HoldCo LLC. On December 17, 2025, when the facility reached substantial completion, the Company paid $50 million to Clearway Renew as additional purchase price for its Class A membership interests in Pine Forest TargetCo and Clearway, Inc., through Pine Forest TE Class A, contributed an additional $38 million for its Class A membership interests in Pine Forest TE HoldCo LLC. In addition, the third-party cash equity investor in Pine Forest TargetCo contributed an additional $144 million. Pine Forest TargetCo consolidates as primary beneficiary, Pine Forest TE HoldCo LLC, a tax equity fund that directly owns the Pine Forest solar and BESS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Entities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1" w:name="page112"/>
    <w:bookmarkEnd w:id="111"/>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Pine Forest has PPAs for the solar facility with investment-grade counterparties and a 20-year weighted average contract duration that commenced in December 2025. Pine Forest is reflected in the Company’s Renewables &amp; Storage segment and the acquisition was funded with existing sources of liquidity. The acquisition was determined to be an asset acquisition and the Company consolidates Pine Forest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initial cash consideration of $18 million and the historical cost of the Company’s net liabilities assumed of $9 million was recorded as an adjustment to contributed capital. The $50 million additional purchase price was also recorded as an adjustment to contributed capital. In addition, the Company reflected the entire $18 million of the Company’s initial purchase price and $50 million of the Company’s additional purchase price, which were contributed back to the Company by CEG to pay down the acquired long-term debt, in the line item contributions from CEG, net of distributions, in the consolidated statements of members’ equity. The Company’s total capital investment in Pine Forest TargetCo was $68 million.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June 10,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Pine Forest</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212"/>
        </w:trPr>
        <w:tc>
          <w:tcPr>
            <w:tcW w:w="9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80"/>
        </w:trPr>
        <w:tc>
          <w:tcPr>
            <w:tcW w:w="920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0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171"/>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6"/>
        </w:trPr>
        <w:tc>
          <w:tcPr>
            <w:tcW w:w="9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6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Construction in progress of $550 million.</w:t>
      </w:r>
    </w:p>
    <w:p>
      <w:pPr>
        <w:spacing w:after="0" w:line="45" w:lineRule="exact"/>
        <w:rPr>
          <w:rFonts w:ascii="Times New Roman" w:cs="Times New Roman" w:eastAsia="Times New Roman" w:hAnsi="Times New Roman"/>
          <w:sz w:val="14"/>
          <w:szCs w:val="14"/>
          <w:color w:val="auto"/>
          <w:vertAlign w:val="superscript"/>
        </w:rPr>
      </w:pPr>
    </w:p>
    <w:p>
      <w:pPr>
        <w:ind w:left="60" w:firstLine="9"/>
        <w:spacing w:after="0" w:line="237" w:lineRule="auto"/>
        <w:tabs>
          <w:tab w:leader="none" w:pos="184" w:val="left"/>
        </w:tabs>
        <w:numPr>
          <w:ilvl w:val="0"/>
          <w:numId w:val="6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Includes a $103 million construction loan, a $102 million cash equity bridge loan, a $41 million tax equity bridge loan and a $275 million tax credit transfer bridge loan, offset by $6 million in unamortized debt issuance costs. See Note 10, </w:t>
      </w:r>
      <w:r>
        <w:rPr>
          <w:rFonts w:ascii="Times New Roman" w:cs="Times New Roman" w:eastAsia="Times New Roman" w:hAnsi="Times New Roman"/>
          <w:sz w:val="10"/>
          <w:szCs w:val="10"/>
          <w:i w:val="1"/>
          <w:iCs w:val="1"/>
          <w:color w:val="auto"/>
        </w:rPr>
        <w:t xml:space="preserve">Long-term Debt, </w:t>
      </w:r>
      <w:r>
        <w:rPr>
          <w:rFonts w:ascii="Times New Roman" w:cs="Times New Roman" w:eastAsia="Times New Roman" w:hAnsi="Times New Roman"/>
          <w:sz w:val="10"/>
          <w:szCs w:val="10"/>
          <w:color w:val="auto"/>
        </w:rPr>
        <w:t>for further discussion of the long-term debt assumed in the acquisition.</w:t>
      </w:r>
    </w:p>
    <w:p>
      <w:pPr>
        <w:spacing w:after="0" w:line="119" w:lineRule="exact"/>
        <w:rPr>
          <w:sz w:val="20"/>
          <w:szCs w:val="20"/>
          <w:color w:val="auto"/>
        </w:rPr>
      </w:pPr>
    </w:p>
    <w:p>
      <w:pPr>
        <w:jc w:val="both"/>
        <w:ind w:left="60"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Honeycomb Portfolio Drop Down </w:t>
      </w:r>
      <w:r>
        <w:rPr>
          <w:rFonts w:ascii="Times New Roman" w:cs="Times New Roman" w:eastAsia="Times New Roman" w:hAnsi="Times New Roman"/>
          <w:sz w:val="14"/>
          <w:szCs w:val="14"/>
          <w:color w:val="auto"/>
        </w:rPr>
        <w:t>— On October 15, 2025, the Company, through its indirect subsidiary, Honeycomb 1 Holdco LLC, acquired Honeycomb TargetCo, the indirect owner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Honeycomb Portfolio, which includes four BESS facilities under construction in Beaver County and Iron County, Utah representing 320 MW of capacity, from Clearway Renew for initial cash consideration of $16 million. At substantial completion, which is expected to occur in the first half of 2026, the Company estimates it will pay an additional $62 million to Clearway Renew. Honeycomb TargetCo consolidates as primary beneficiary, Honeycomb TE HoldCo LLC, a tax equity fund that owns the Honeycomb Portfolio BESS facilities,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Honeycomb Portfolio has 20-year PPAs with an investment-grade utility that will commence when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underlying operating assets reach commercial operations, which is expected to occur in the first half of 2026. The Honeycomb Portfolio is reflected in the Company’s Renewables &amp; Storage segment and the acquisition was funded with existing sources of liquidity. The acquisition was determined to be an asset acquisition and the Company consolidates the Honeycomb Portfolio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initial cash consideration of $16 million and the historical cost of the Company’s net liabilities assumed of $2 million was recorded as an adjustment to contributed capital. The Company estimates that its total capital investment in Honeycomb TargetCo will be $78 million, excluding the impact of any closing adjustments noted in the purchase agreement.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2" w:name="page113"/>
    <w:bookmarkEnd w:id="112"/>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October 15,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Honeycomb Portfolio</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2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212"/>
        </w:trPr>
        <w:tc>
          <w:tcPr>
            <w:tcW w:w="9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1"/>
        </w:trPr>
        <w:tc>
          <w:tcPr>
            <w:tcW w:w="9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71"/>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6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6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Construction in progress of $473 million.</w:t>
      </w:r>
    </w:p>
    <w:p>
      <w:pPr>
        <w:spacing w:after="0" w:line="45"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6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Includes a $218 million construction loan and a $234 million tax equity bridge loan, offset by $9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for further discussion of the long-term debt assumed in the acquisition.</w:t>
      </w:r>
    </w:p>
    <w:p>
      <w:pPr>
        <w:spacing w:after="0" w:line="120" w:lineRule="exact"/>
        <w:rPr>
          <w:sz w:val="20"/>
          <w:szCs w:val="20"/>
          <w:color w:val="auto"/>
        </w:rPr>
      </w:pPr>
    </w:p>
    <w:p>
      <w:pPr>
        <w:jc w:val="both"/>
        <w:ind w:left="60"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Daggett 1 Drop Down </w:t>
      </w:r>
      <w:r>
        <w:rPr>
          <w:rFonts w:ascii="Times New Roman" w:cs="Times New Roman" w:eastAsia="Times New Roman" w:hAnsi="Times New Roman"/>
          <w:sz w:val="14"/>
          <w:szCs w:val="14"/>
          <w:color w:val="auto"/>
        </w:rPr>
        <w:t>— On April 29, 2025, the Company, through its indirect subsidiary, LV-Daggett Parent Holdco LLC, acquired Daggett 1 Class B, the indirect owner of Daggett 1, a 114</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MW BESS facility located in San Bernardino County, California, from Clearway Renew for initial cash consideration of $11 million. On September 19, 2025, when the facility reached substantial completion, the Company paid $42 million to Clearway Renew as additional purchase price. Daggett 1 Class B consolidates as primary beneficiary, Daggett 1 TE Holdco LLC, a tax equity fund that owns the Daggett 1 BESS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Daggett 1 has a PPA for capacity with an investment-grade counterparty for a contract duration of 15 years that commenced in September 2025. Daggett 1 is reflected in the Company’s Renewables &amp; Storage segment and the acquisition was funded with existing sources of liquidity. The acquisition was determined to be an asset acquisition and the Company consolidates Daggett 1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Issues</w:t>
      </w:r>
      <w:r>
        <w:rPr>
          <w:rFonts w:ascii="Times New Roman" w:cs="Times New Roman" w:eastAsia="Times New Roman" w:hAnsi="Times New Roman"/>
          <w:sz w:val="14"/>
          <w:szCs w:val="14"/>
          <w:color w:val="auto"/>
        </w:rPr>
        <w:t>. The difference between the initial cash consideration of $11 million and the historical cost of the Company’s net assets acquired of $1 million was recorded as an adjustment to contributed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capital. The $42 million additional purchase price was also recorded as an adjustment to contributed capital. In addition, the Company reflected the entire $11 million of the Company’s initial purchase price, which was contributed back to the Company by CEG into escrow in the line item contributions from CEG, net of distributions, in the consolidated statements of members’ equity. The Company also reflected the entire $42 million of the Company’s additional purchase price, which was contributed back to the Company by CEG to pay down long-term debt, in the line item contributions from CEG, net of distributions, in the consolidated statements of members’ equity.</w:t>
      </w:r>
    </w:p>
    <w:p>
      <w:pPr>
        <w:spacing w:after="0" w:line="10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On October 15, 2025, the Company paid $4 million to Clearway Renew as a final purchase price adjustment, which was recorded as an adjustment to contributed capital. The Company’s total capital investment in Daggett 1 Class B was $57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3" w:name="page114"/>
    <w:bookmarkEnd w:id="113"/>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April 29,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3"/>
                <w:szCs w:val="13"/>
                <w:b w:val="1"/>
                <w:bCs w:val="1"/>
                <w:color w:val="auto"/>
              </w:rPr>
              <w:t>Daggett 1</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4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4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212"/>
        </w:trPr>
        <w:tc>
          <w:tcPr>
            <w:tcW w:w="9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4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4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71"/>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9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6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Construction in progress of $221 million.</w:t>
      </w:r>
    </w:p>
    <w:p>
      <w:pPr>
        <w:spacing w:after="0" w:line="45"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6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Includes a $92 million construction loan and a $131 million tax equity bridge loan, offset by $3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for further discussion of the long-term debt assumed in the acquisition.</w:t>
      </w:r>
    </w:p>
    <w:p>
      <w:pPr>
        <w:spacing w:after="0" w:line="120" w:lineRule="exact"/>
        <w:rPr>
          <w:sz w:val="20"/>
          <w:szCs w:val="20"/>
          <w:color w:val="auto"/>
        </w:rPr>
      </w:pPr>
    </w:p>
    <w:p>
      <w:pPr>
        <w:jc w:val="both"/>
        <w:ind w:left="60"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Luna Valley Drop Down </w:t>
      </w:r>
      <w:r>
        <w:rPr>
          <w:rFonts w:ascii="Times New Roman" w:cs="Times New Roman" w:eastAsia="Times New Roman" w:hAnsi="Times New Roman"/>
          <w:sz w:val="14"/>
          <w:szCs w:val="14"/>
          <w:color w:val="auto"/>
        </w:rPr>
        <w:t>— On April 29, 2025, the Company, through its indirect subsidiary, LV-Daggett Parent Holdco LLC, acquired Luna Valley Class B, the indirect owner of Luna Valley,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a 200 MW solar facility located in Fresno County, California, from Clearway Renew for initial cash consideration of $18 million. On September 4, 2025, when the facility reached substantial completion, the Company paid $72 million to Clearway Renew as additional purchase price. Luna Valley Class B consolidates as primary beneficiary, Luna Valley TE Holdco LLC, a tax equity fund that owns the Luna Valley solar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Luna Valley has PPAs with investment-grade counterparties that have a 17-year weighted average contract duration that commenced in August 2025. Luna Valley is reflected in the Company’s Renewables &amp; Storage segment and the acquisition was funded with existing sources of liquidity. The acquisition was determined to be an asset acquisition and the Company consolidates Luna Valley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Issues</w:t>
      </w:r>
      <w:r>
        <w:rPr>
          <w:rFonts w:ascii="Times New Roman" w:cs="Times New Roman" w:eastAsia="Times New Roman" w:hAnsi="Times New Roman"/>
          <w:sz w:val="14"/>
          <w:szCs w:val="14"/>
          <w:color w:val="auto"/>
        </w:rPr>
        <w:t>. The sum of the initial cash consideration of $18 million and the historical cost of the Company’s net liabilities assumed of $7 million was recorded as an adjustment to contributed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$72 million additional purchase price was also recorded as an adjustment to contributed capital. In addition, the Company reflected the entire $18 million of the Company’s initial purchase price and $72 million of the Company’s additional purchase price, which were contributed back to the Company by CEG to pay down the acquired long-term debt, in the line item contributions from CEG, net of distributions, in the consolidated statements of members’ equity.</w:t>
      </w:r>
    </w:p>
    <w:p>
      <w:pPr>
        <w:spacing w:after="0" w:line="10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On October 15, 2025, the Company paid $29 million to Clearway Renew as a final purchase price adjustment, which was recorded as an adjustment to contributed capital. The Company’s total capital investment in Luna Valley Class B was $119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4" w:name="page115"/>
    <w:bookmarkEnd w:id="114"/>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April 29,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3"/>
                <w:szCs w:val="13"/>
                <w:b w:val="1"/>
                <w:bCs w:val="1"/>
                <w:color w:val="auto"/>
              </w:rPr>
              <w:t>Luna Valley</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Right-of-use assets, net </w:t>
            </w:r>
            <w:r>
              <w:rPr>
                <w:rFonts w:ascii="Times New Roman" w:cs="Times New Roman" w:eastAsia="Times New Roman" w:hAnsi="Times New Roman"/>
                <w:sz w:val="8"/>
                <w:szCs w:val="8"/>
                <w:color w:val="auto"/>
              </w:rPr>
              <w:t>(b)</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212"/>
        </w:trPr>
        <w:tc>
          <w:tcPr>
            <w:tcW w:w="9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8"/>
                <w:szCs w:val="8"/>
                <w:color w:val="auto"/>
              </w:rPr>
              <w:t>(c)</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Long-term lease liabilities </w:t>
            </w:r>
            <w:r>
              <w:rPr>
                <w:rFonts w:ascii="Times New Roman" w:cs="Times New Roman" w:eastAsia="Times New Roman" w:hAnsi="Times New Roman"/>
                <w:sz w:val="8"/>
                <w:szCs w:val="8"/>
                <w:color w:val="auto"/>
              </w:rPr>
              <w:t>(b)</w:t>
            </w: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0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r>
      <w:tr>
        <w:trPr>
          <w:trHeight w:val="171"/>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6"/>
        </w:trPr>
        <w:tc>
          <w:tcPr>
            <w:tcW w:w="9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6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Construction in progress of $338 million.</w:t>
      </w:r>
    </w:p>
    <w:p>
      <w:pPr>
        <w:spacing w:after="0" w:line="45"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6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Balances primarily relate to a land lease agreement with a wholly-owned subsidiary of CEG, which expires on September 23, 2058.</w:t>
      </w:r>
    </w:p>
    <w:p>
      <w:pPr>
        <w:spacing w:after="0" w:line="46" w:lineRule="exact"/>
        <w:rPr>
          <w:rFonts w:ascii="Times New Roman" w:cs="Times New Roman" w:eastAsia="Times New Roman" w:hAnsi="Times New Roman"/>
          <w:sz w:val="14"/>
          <w:szCs w:val="14"/>
          <w:color w:val="auto"/>
          <w:vertAlign w:val="superscript"/>
        </w:rPr>
      </w:pPr>
    </w:p>
    <w:p>
      <w:pPr>
        <w:ind w:left="60" w:firstLine="9"/>
        <w:spacing w:after="0" w:line="237" w:lineRule="auto"/>
        <w:tabs>
          <w:tab w:leader="none" w:pos="180" w:val="left"/>
        </w:tabs>
        <w:numPr>
          <w:ilvl w:val="0"/>
          <w:numId w:val="6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Includes a $144 million construction loan, a $64 million cash equity bridge loan and a $144 million tax equity bridge loan, offset by $4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for further discussion of the long-term debt assumed in the acquisition.</w:t>
      </w:r>
    </w:p>
    <w:p>
      <w:pPr>
        <w:spacing w:after="0" w:line="119" w:lineRule="exact"/>
        <w:rPr>
          <w:sz w:val="20"/>
          <w:szCs w:val="20"/>
          <w:color w:val="auto"/>
        </w:rPr>
      </w:pPr>
    </w:p>
    <w:p>
      <w:pPr>
        <w:jc w:val="both"/>
        <w:ind w:left="60"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Rosamond South I Drop Down </w:t>
      </w:r>
      <w:r>
        <w:rPr>
          <w:rFonts w:ascii="Times New Roman" w:cs="Times New Roman" w:eastAsia="Times New Roman" w:hAnsi="Times New Roman"/>
          <w:sz w:val="14"/>
          <w:szCs w:val="14"/>
          <w:color w:val="auto"/>
        </w:rPr>
        <w:t>— On March 20, 2025, the Company, through its indirect subsidiary, Rosamond South Investment LLC, acquired the Class A membership interests in Rosie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South TargetCo, a partnership and the indirect owner of Rosamond South I, a 140 MW solar facility that is paired with a 117 MW BESS facility located in Rosamond, California, from Clearway Renew for initial cash consideration of $4 million. Simultaneously, a third-party cash equity investor acquired the Class B membership interests in Rosie South TargetCo from Clearway Renew for initial cash consideration of $10 million. On August 13, 2025, when the facility reached substantial completion, the Company paid $29 million to Clearway Renew as additional purchase price and the third-party cash equity investor contributed an additional $41 million. Rosie South TargetCo consolidates as primary beneficiary, Rosie South TE Holdco LLC, a tax equity fund that directly owns the Rosamond South I solar and BESS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Rosamond South I has PPAs with investment-grade counterparties that have a 15-year weighted average contract duration that commenced in August 2025. Rosamond South I is reflected in the Company’s Renewables &amp; Storage segment and the acquisition was funded with existing sources of liquidity. The acquisition was determined to be an asset acquisition and the Company consolidates Rosamond South I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initial cash consideration of $4 million and the historical cost of the Company’s net liabilities assumed of $3 million was recorded as an adjustment to contributed capital. The $29 million additional purchase price was also recorded as an adjustment to contributed capital. In addition, the Company reflected the entire $4 million of the Company’s initial purchase price and $29 million of the Company’s additional purchase price, which were contributed back to the Company by CEG to pay down the acquired long-term debt, in the line item contributions from CEG, net of distributions, in the consolidated statements of members’ equity. The Company’s total capital investment in Rosie South TargetCo was $33 million.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5" w:name="page116"/>
    <w:bookmarkEnd w:id="115"/>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20,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Rosamond South I</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8"/>
                <w:szCs w:val="8"/>
                <w:color w:val="auto"/>
              </w:rPr>
              <w:t>(a)</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Right-of-use assets, net </w:t>
            </w:r>
            <w:r>
              <w:rPr>
                <w:rFonts w:ascii="Times New Roman" w:cs="Times New Roman" w:eastAsia="Times New Roman" w:hAnsi="Times New Roman"/>
                <w:sz w:val="8"/>
                <w:szCs w:val="8"/>
                <w:color w:val="auto"/>
              </w:rPr>
              <w:t>(b)</w:t>
            </w: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212"/>
        </w:trPr>
        <w:tc>
          <w:tcPr>
            <w:tcW w:w="9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8"/>
                <w:szCs w:val="8"/>
                <w:color w:val="auto"/>
              </w:rPr>
              <w:t>(c)</w:t>
            </w: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Long-term lease liabilities </w:t>
            </w:r>
            <w:r>
              <w:rPr>
                <w:rFonts w:ascii="Times New Roman" w:cs="Times New Roman" w:eastAsia="Times New Roman" w:hAnsi="Times New Roman"/>
                <w:sz w:val="8"/>
                <w:szCs w:val="8"/>
                <w:color w:val="auto"/>
              </w:rPr>
              <w:t>(b)</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1"/>
        </w:trPr>
        <w:tc>
          <w:tcPr>
            <w:tcW w:w="9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171"/>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0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9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6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Construction in progress of $495 million.</w:t>
      </w:r>
    </w:p>
    <w:p>
      <w:pPr>
        <w:spacing w:after="0" w:line="45"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6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Balances primarily relate to a land lease agreement with a wholly-owned subsidiary of CEG, which expires on September 30, 2058.</w:t>
      </w:r>
    </w:p>
    <w:p>
      <w:pPr>
        <w:spacing w:after="0" w:line="46" w:lineRule="exact"/>
        <w:rPr>
          <w:rFonts w:ascii="Times New Roman" w:cs="Times New Roman" w:eastAsia="Times New Roman" w:hAnsi="Times New Roman"/>
          <w:sz w:val="14"/>
          <w:szCs w:val="14"/>
          <w:color w:val="auto"/>
          <w:vertAlign w:val="superscript"/>
        </w:rPr>
      </w:pPr>
    </w:p>
    <w:p>
      <w:pPr>
        <w:ind w:left="60" w:firstLine="9"/>
        <w:spacing w:after="0" w:line="237" w:lineRule="auto"/>
        <w:tabs>
          <w:tab w:leader="none" w:pos="180" w:val="left"/>
        </w:tabs>
        <w:numPr>
          <w:ilvl w:val="0"/>
          <w:numId w:val="6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Includes a $179 million construction loan, a $6 million cash equity bridge loan and a $284 million tax equity bridge loan, offset by $1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xml:space="preserve"> for further discussion of the long-term debt assumed in the acquisition.</w:t>
      </w:r>
    </w:p>
    <w:p>
      <w:pPr>
        <w:spacing w:after="0" w:line="119"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Catalina Solar Acquisition — </w:t>
      </w:r>
      <w:r>
        <w:rPr>
          <w:rFonts w:ascii="Times New Roman" w:cs="Times New Roman" w:eastAsia="Times New Roman" w:hAnsi="Times New Roman"/>
          <w:sz w:val="14"/>
          <w:szCs w:val="14"/>
          <w:color w:val="auto"/>
        </w:rPr>
        <w:t>On July 16, 2025, the Company, through its indirect subsidiary, Catalina Solar Investment LLC, acquired Catalina Solar Lessee Holdco LLC, which leases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operates Catalina, a 109 MW solar facility located in Kern County, California, from a third-party for approximately $127 million, which excludes $1 million in transaction expenses incurred in connection with the acquisition. Catalina reached commercial operations in 2013 and has a PPA with an investment-grade utility through 2038. Catalina is reflected in the Renewables &amp; Storage segment and the acquisition was funded with existing sources of liquidity. After factoring in cash reserves acquired and transaction expenses, the Company’s net capital investment in Catalina was $128 million. The acquisition was determined to be an asset acquisition and the purchase price, including transaction expenses, was allocated to the fair value of the assets acquired and liabilities assumed on the acquisition date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0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Catalina</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5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for power purchase agreement</w:t>
            </w:r>
          </w:p>
        </w:tc>
        <w:tc>
          <w:tcPr>
            <w:tcW w:w="5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5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50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50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12"/>
        </w:trPr>
        <w:tc>
          <w:tcPr>
            <w:tcW w:w="41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5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50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50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71"/>
        </w:trPr>
        <w:tc>
          <w:tcPr>
            <w:tcW w:w="4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506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060" w:type="dxa"/>
            <w:vAlign w:val="bottom"/>
            <w:vMerge w:val="restart"/>
          </w:tcPr>
          <w:p>
            <w:pPr>
              <w:jc w:val="right"/>
              <w:ind w:right="3389"/>
              <w:spacing w:after="0"/>
              <w:rPr>
                <w:sz w:val="20"/>
                <w:szCs w:val="20"/>
                <w:color w:val="auto"/>
              </w:rPr>
            </w:pPr>
            <w:r>
              <w:rPr>
                <w:rFonts w:ascii="Times New Roman" w:cs="Times New Roman" w:eastAsia="Times New Roman" w:hAnsi="Times New Roman"/>
                <w:sz w:val="14"/>
                <w:szCs w:val="14"/>
                <w:color w:val="auto"/>
              </w:rPr>
              <w:t>111</w:t>
            </w:r>
          </w:p>
        </w:tc>
        <w:tc>
          <w:tcPr>
            <w:tcW w:w="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414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50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6" w:name="page117"/>
    <w:bookmarkEnd w:id="116"/>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Dan’s Mountain Drop Down — </w:t>
      </w:r>
      <w:r>
        <w:rPr>
          <w:rFonts w:ascii="Times New Roman" w:cs="Times New Roman" w:eastAsia="Times New Roman" w:hAnsi="Times New Roman"/>
          <w:sz w:val="14"/>
          <w:szCs w:val="14"/>
          <w:color w:val="auto"/>
        </w:rPr>
        <w:t>On November 18, 2024, the Company, through its indirect subsidiary, Dan’s Mountain Parent Holdco LLC, acquired the Class A membership interests in Dan’s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Mountain TargetCo, a partnership and the indirect owner of Dan’s Mountain, a 55 MW wind facility located in Allegany County, Maryland, from Clearway Renew for initial cash consideration of $7 million. On May 21, 2025, when the facility reached substantial completion, the Company paid $36 million to Clearway Renew as additional purchase price. Also on May 21, 2025, a third-party cash equity investor contributed $45 million to acquire the Class B membership interests in Dan’s Mountain TargetCo from Clearway Renew. Dan’s Mountain TargetCo consolidates as primary beneficiary, Dan’s Mountain Tax Credit Holdco LLC, a tax equity fund that owns the Dan’s Mountain wind facility. Dan’s Mountain has a 12-year PPA with an investment-grade utility that commenced in May 2025. Dan’s Mountain is reflected in the Company’s Renewables &amp; Storage segment and the acquisition was funded with existing sources of liquidity. The acquisition was determined to be an asset acquisition and the Company consolidates Dan’s Mountain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initial cash consideration of $7 million and the historical cost of the Company’s net liabilities assumed of $2 million, less Clearway Renew’s investment of $1 million in Dan’s Mountain TargetCo, was recorded as an adjustment to contributed capital. The $36 million additional purchase price was also recorded as an adjustment to contributed capital. In addition, the Company reflected the entire $7 million purchase price, which was contributed back to the Company by CEG to pay down the acquired long-term debt, in the line item contributions from CEG, net of distributions, in the consolidated statements of members’ equity. The Company also reflected the entire $36 million of the Company’s additional purchase price, which was contributed back to the Company by CEG to pay down the acquired long-term debt, in the line item contributions from CEG, net of distributions, in the consolidated statements of members’ equity. The Company’s total capital investment in Dan’s Mountain TargetCo was $43 million.</w:t>
      </w: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November 18,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Dan’s Mountain</w:t>
            </w:r>
          </w:p>
        </w:tc>
      </w:tr>
      <w:tr>
        <w:trPr>
          <w:trHeight w:val="173"/>
        </w:trPr>
        <w:tc>
          <w:tcPr>
            <w:tcW w:w="924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12"/>
        </w:trPr>
        <w:tc>
          <w:tcPr>
            <w:tcW w:w="9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0"/>
        </w:trPr>
        <w:tc>
          <w:tcPr>
            <w:tcW w:w="9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9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6"/>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Construction in progress of $150 million.</w:t>
      </w:r>
    </w:p>
    <w:p>
      <w:pPr>
        <w:spacing w:after="0" w:line="45" w:lineRule="exact"/>
        <w:rPr>
          <w:rFonts w:ascii="Times New Roman" w:cs="Times New Roman" w:eastAsia="Times New Roman" w:hAnsi="Times New Roman"/>
          <w:sz w:val="17"/>
          <w:szCs w:val="17"/>
          <w:color w:val="auto"/>
          <w:vertAlign w:val="superscript"/>
        </w:rPr>
      </w:pPr>
    </w:p>
    <w:p>
      <w:pPr>
        <w:ind w:left="60" w:firstLine="9"/>
        <w:spacing w:after="0"/>
        <w:tabs>
          <w:tab w:leader="none" w:pos="206"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 $77 million cash equity bridge loan and a $49 million tax equity bridge loan, offset by $1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96" w:lineRule="exact"/>
        <w:rPr>
          <w:sz w:val="20"/>
          <w:szCs w:val="20"/>
          <w:color w:val="auto"/>
        </w:rPr>
      </w:pPr>
    </w:p>
    <w:p>
      <w:pPr>
        <w:jc w:val="both"/>
        <w:ind w:left="60" w:firstLine="31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Tuolumne Wind Acquisition — </w:t>
      </w:r>
      <w:r>
        <w:rPr>
          <w:rFonts w:ascii="Times New Roman" w:cs="Times New Roman" w:eastAsia="Times New Roman" w:hAnsi="Times New Roman"/>
          <w:sz w:val="14"/>
          <w:szCs w:val="14"/>
          <w:color w:val="auto"/>
        </w:rPr>
        <w:t>On April 29, 2025, the Company, through its indirect subsidiary, Washington Wind LLC, acquired Tuolumne, a 137 MW wind facility located in Klickitat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County, Washington, from an investment-grade regulated entity for approximately $210 million, which excludes $1 million in transaction expenses incurred in connection with the acquisition. Tuolumne reached commercial operations in 2009. In connection with the acquisition, the Company entered into a 15-year PPA with an investment-grade regulated entity that commenced in April 2025. Tuolumne is reflected in the Company’s Renewables &amp; Storage segment and the acquisition was funded with borrowings under the new financing agreement that was entered into in connection with the acquisition, as further described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as well as existing sources of liquidity. After factoring in transaction expenses and the new financing, the Company’s net capital investment in Tuolumne was $59 million. The acquisition was determined to be an asset acquisition and the purchase price, including transaction expenses, was allocated to the fair value of the assets acquired and liabilities assumed on the acquisition date as follows: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Tuolumne</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for power purchase agreement</w:t>
            </w:r>
          </w:p>
        </w:tc>
        <w:tc>
          <w:tcPr>
            <w:tcW w:w="4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4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212"/>
        </w:trPr>
        <w:tc>
          <w:tcPr>
            <w:tcW w:w="9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20"/>
        </w:trPr>
        <w:tc>
          <w:tcPr>
            <w:tcW w:w="9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Rosamond Central BESS Drop Down </w:t>
      </w:r>
      <w:r>
        <w:rPr>
          <w:rFonts w:ascii="Times New Roman" w:cs="Times New Roman" w:eastAsia="Times New Roman" w:hAnsi="Times New Roman"/>
          <w:sz w:val="14"/>
          <w:szCs w:val="14"/>
          <w:color w:val="auto"/>
        </w:rPr>
        <w:t>— On December 1, 2023, the Rosamond Central solar facility acquired a 147 MW co-located BESS facility from Clearway Renew for initial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consideration of $70 million, $16 million of which was funded by the Company, with the remaining $54 million funded through contributions from the third-party cash equity investor in Rosie TargetCo LLC and the tax equity investor in Rosie TE HoldCo LLC. On June 13, 2024, when the Rosamond Central BESS facility reached substantial completion, the Company paid $279 million to Clearway Renew as additional purchase price to complete its acquisition of the facility. The additional purchase price consisted of $64 million funded by the Company and $215 million funded through contributions from the third-party cash equity and tax equity investors. In order to facilitate and fund the construction of the BESS facility, Rosie Class B LLC, the indirect owner of the Rosamond Central solar facility, utilizing the proceeds from borrowings received under the refinanced debt facility, issued a loan to Clearway Renew, as further described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and also made equity contributions to Rosie BESS Devco LLC, or Rosie Central BESS, which were accounted for as investments under the equity method of accounting, as further described in </w:t>
      </w:r>
      <w:r>
        <w:rPr>
          <w:rFonts w:ascii="Times New Roman" w:cs="Times New Roman" w:eastAsia="Times New Roman" w:hAnsi="Times New Roman"/>
          <w:sz w:val="14"/>
          <w:szCs w:val="14"/>
          <w:color w:val="000000"/>
        </w:rPr>
        <w:t>Note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5, </w:t>
      </w:r>
      <w:r>
        <w:rPr>
          <w:rFonts w:ascii="Times New Roman" w:cs="Times New Roman" w:eastAsia="Times New Roman" w:hAnsi="Times New Roman"/>
          <w:sz w:val="14"/>
          <w:szCs w:val="14"/>
          <w:i w:val="1"/>
          <w:iCs w:val="1"/>
          <w:color w:val="000000"/>
        </w:rPr>
        <w:t>Investments Accounted for by the Equity Method and Variable Interest Entities</w:t>
      </w:r>
      <w:r>
        <w:rPr>
          <w:rFonts w:ascii="Times New Roman" w:cs="Times New Roman" w:eastAsia="Times New Roman" w:hAnsi="Times New Roman"/>
          <w:sz w:val="14"/>
          <w:szCs w:val="14"/>
          <w:color w:val="000000"/>
        </w:rPr>
        <w:t xml:space="preserve">. The BESS facility has a 15-year PPA for capacity with an investment-grade utility that commenced in July 2024. The Rosamond Central BESS operations are reflected in the Company’s Renewables &amp; Storage segment and the Company’s portion of the purchase price was funded with existing sources of liquidity. The acquisition was determined to be an asset acquisition and the Company consolidates the Rosamond Central BESS net assets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000000"/>
        </w:rPr>
        <w:t>Business Combinations - Related Issues</w:t>
      </w:r>
      <w:r>
        <w:rPr>
          <w:rFonts w:ascii="Times New Roman" w:cs="Times New Roman" w:eastAsia="Times New Roman" w:hAnsi="Times New Roman"/>
          <w:sz w:val="14"/>
          <w:szCs w:val="14"/>
          <w:color w:val="000000"/>
        </w:rPr>
        <w:t>. The difference between the historical cost of the Company’s net assets acquired of $266 million and the Company’s initial cash consideration of $70 million was recorded as an adjustment to contributed capital. The $279 million additional purchase price was also recorded as an adjustment to contributed capital.</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December 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Rosamond Central BESS</w:t>
            </w:r>
          </w:p>
        </w:tc>
      </w:tr>
      <w:tr>
        <w:trPr>
          <w:trHeight w:val="173"/>
        </w:trPr>
        <w:tc>
          <w:tcPr>
            <w:tcW w:w="900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71"/>
        </w:trPr>
        <w:tc>
          <w:tcPr>
            <w:tcW w:w="9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26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212"/>
        </w:trPr>
        <w:tc>
          <w:tcPr>
            <w:tcW w:w="9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80"/>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9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6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9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Construction in progress of $272 million.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118" w:name="page119"/>
    <w:bookmarkEnd w:id="118"/>
    <w:p>
      <w:pPr>
        <w:jc w:val="both"/>
        <w:ind w:left="60" w:firstLine="318"/>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Victory Pass and Arica Drop Down </w:t>
      </w:r>
      <w:r>
        <w:rPr>
          <w:rFonts w:ascii="Times New Roman" w:cs="Times New Roman" w:eastAsia="Times New Roman" w:hAnsi="Times New Roman"/>
          <w:sz w:val="14"/>
          <w:szCs w:val="14"/>
          <w:color w:val="auto"/>
        </w:rPr>
        <w:t xml:space="preserve">— On October 31, 2023, the Company, through its indirect subsidiary, VP-Arica Parent Holdco LLC, acquired the Class A membership interests in VP-Arica TargetCo LLC, a partnership and the indirect owner of Victory Pass, a 200 MW solar facility that is paired with a 50 MW BESS facility, and Arica, a 263 MW solar facility that is paired with a 136 MW BESS facility, both located in Riverside, California, from Clearway Renew for initial cash consideration of $46 million. Simultaneously, a third-party cash equity investor acquired the Class B membership interests in VP-Arica TargetCo LLC from Clearway Renew for initial cash consideration of $87 million. On May 1, 2024, when the facilities reached substantial completion, the Company paid $165 million to Clearway Renew as additional purchase price and the third-party cash equity investor contributed an additional $347 million. VP-Arica TargetCo LLC consolidates as primary beneficiary, VP-Arica TE Holdco LLC, a tax equity fund that owns the Victory Pass and Arica solar and BESS facilities. Victory Pass and Arica each have PPAs with investment-grade counterparties that have a 15-year and 14-year weighted average contract duration, respectively, that commenced between March 2024 and April 2024. The Victory Pass and Arica operations are reflected in the Company’s Renewables &amp; Storage segment and the acquisition was funded with existing sources of liquidity. The acquisition was determined to be an asset acquisition and the Company consolidates Victory Pass and Arica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initial cash consideration of $46 million and the historical cost of the Company’s net liabilities assumed of $1 million was recorded as an adjustment to contributed capital. The $165 million additional purchase price was also recorded as an adjustment to contributed capital. In addition, the Company reflected the entire $46 million of the Company’s initial purchase price, which was contributed back to the Company by CEG to pay down the acquired long-term debt, in the line item distributions to CEG, net of contributions, in the consolidated statements of members’ equity. The Company also reflected the entire $165 million of the Company’s additional purchase price, which was contributed back to the Company by CEG to pay down long-term debt, in the line item contributions to CEG, net of distributions, in the consolidated statements of members’ equity.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October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Victory Pass and Arica</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r>
      <w:tr>
        <w:trPr>
          <w:trHeight w:val="212"/>
        </w:trPr>
        <w:tc>
          <w:tcPr>
            <w:tcW w:w="9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4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9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Construction in progress of $893 million.</w:t>
      </w:r>
    </w:p>
    <w:p>
      <w:pPr>
        <w:spacing w:after="0" w:line="45" w:lineRule="exact"/>
        <w:rPr>
          <w:rFonts w:ascii="Times New Roman" w:cs="Times New Roman" w:eastAsia="Times New Roman" w:hAnsi="Times New Roman"/>
          <w:sz w:val="17"/>
          <w:szCs w:val="17"/>
          <w:color w:val="auto"/>
          <w:vertAlign w:val="superscript"/>
        </w:rPr>
      </w:pPr>
    </w:p>
    <w:p>
      <w:pPr>
        <w:ind w:left="60" w:firstLine="9"/>
        <w:spacing w:after="0"/>
        <w:tabs>
          <w:tab w:leader="none" w:pos="206" w:val="left"/>
        </w:tabs>
        <w:numPr>
          <w:ilvl w:val="0"/>
          <w:numId w:val="6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 $483 million cash equity bridge loan and $385 million tax equity bridge loan, offset by $4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9" w:name="page120"/>
    <w:bookmarkEnd w:id="119"/>
    <w:p>
      <w:pPr>
        <w:jc w:val="both"/>
        <w:ind w:firstLine="31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Cedar Creek Drop Down — </w:t>
      </w: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Creek, a 160 MW wind facility that is located in Bingham County, Idaho, from Clearway Renew for cash consideration of $117 million. Cedar Creek Holdco LLC consolidates as primary beneficiary, Cedar Creek TE Holdco LLC, a tax equity fund that owns the Cedar Creek wind facility. Cedar Creek has a 25-year PPA with an investment-grade utility that commenced in March 2024. The Cedar Creek operations are reflected in the Company’s Renewables &amp; Storage segment and the acquisition was funded with existing sources of liquidity. The acquisition was determined to be an asset acquisition and the Company consolidates Cedar Creek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Company’s cash paid of $117 million and the historical cost of the Company’s net assets acquired of $17 million was recorded as an adjustment to contributed capital. In addition, the Company reflected the entire $117 million purchase price, which was contributed back to the Company by CEG to pay down the acquired long-term debt, in the line item contributions from CEG, net of distributions, in the consolidated statements of members’ equity.</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April 16,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Cedar Creek</w:t>
            </w:r>
          </w:p>
        </w:tc>
      </w:tr>
      <w:tr>
        <w:trPr>
          <w:trHeight w:val="173"/>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12"/>
        </w:trPr>
        <w:tc>
          <w:tcPr>
            <w:tcW w:w="2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0"/>
        </w:trPr>
        <w:tc>
          <w:tcPr>
            <w:tcW w:w="92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9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22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7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60" w:type="dxa"/>
            <w:vAlign w:val="bottom"/>
          </w:tcPr>
          <w:p>
            <w:pPr>
              <w:spacing w:after="0"/>
              <w:rPr>
                <w:sz w:val="10"/>
                <w:szCs w:val="10"/>
                <w:color w:val="auto"/>
              </w:rPr>
            </w:pPr>
          </w:p>
        </w:tc>
      </w:tr>
    </w:tbl>
    <w:p>
      <w:pPr>
        <w:spacing w:after="0" w:line="76" w:lineRule="exact"/>
        <w:rPr>
          <w:sz w:val="20"/>
          <w:szCs w:val="20"/>
          <w:color w:val="auto"/>
        </w:rPr>
      </w:pPr>
    </w:p>
    <w:p>
      <w:pPr>
        <w:ind w:left="60" w:firstLine="9"/>
        <w:spacing w:after="0" w:line="230" w:lineRule="auto"/>
        <w:tabs>
          <w:tab w:leader="none" w:pos="190" w:val="left"/>
        </w:tabs>
        <w:numPr>
          <w:ilvl w:val="0"/>
          <w:numId w:val="6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$112 million construction loan, a $91 million cash equity bridge loan, and a $109 million tax equity bridge loan, offset by $3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xml:space="preserve"> for further discussion of the long-term debt assumed in the acquisition.</w:t>
      </w:r>
    </w:p>
    <w:p>
      <w:pPr>
        <w:spacing w:after="0" w:line="119"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2 Drop Down — </w:t>
      </w: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located in Kent County, Texas, from Clearway Renew for cash consideration of $112 million, of which $17 million was funded by the Company, with the remaining $95 million funded through a contribution from the third-party cash equity investor in Lighthouse Renewable Holdco 2 LLC, a partnership. Lighthouse Renewable Holdco 2 LLC indirectly consolidates as primary beneficiary, TSN1 TE Holdco LLC, a tax equity fund that owns Texas Solar Nova 1 and Texas Solar Nova 2</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Texas Solar Nova 2 has an 18-year PPA with an investment-grade counterparty that commenced in February 2024. The Texas Solar Nova 2 operations are reflected in the Company’s Renewables &amp; Storage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Company’s cash paid of $112 million and the historical cost of the Company’s net assets acquired of $72 million was recorded as an adjustment to contributed capital. In addition, the Company reflected $9 million of the Company’s purchase price, which was contributed back to the Company by CEG to pay down the acquired long-term debt, in the line item contributions from CEG, net of distributions, in the consolidated statements of members’ equity.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0" w:name="page121"/>
    <w:bookmarkEnd w:id="120"/>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15,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Texas Solar Nova 2</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12"/>
        </w:trPr>
        <w:tc>
          <w:tcPr>
            <w:tcW w:w="9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an $80 million term loan and a $115 million tax equity bridge loan, offset by $1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Dispositions</w:t>
      </w:r>
    </w:p>
    <w:p>
      <w:pPr>
        <w:spacing w:after="0" w:line="136" w:lineRule="exact"/>
        <w:rPr>
          <w:sz w:val="20"/>
          <w:szCs w:val="20"/>
          <w:color w:val="auto"/>
        </w:rPr>
      </w:pPr>
    </w:p>
    <w:p>
      <w:pPr>
        <w:jc w:val="both"/>
        <w:ind w:left="60"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Mt. Storm Sale to Clearway Renew </w:t>
      </w:r>
      <w:r>
        <w:rPr>
          <w:rFonts w:ascii="Times New Roman" w:cs="Times New Roman" w:eastAsia="Times New Roman" w:hAnsi="Times New Roman"/>
          <w:sz w:val="14"/>
          <w:szCs w:val="14"/>
          <w:color w:val="auto"/>
        </w:rPr>
        <w:t>— On October 2, 2025, the Company, through its indirect subsidiary, WV Wind Holdco LLC, sold 100% of its membership interests in Mount Storm Wind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LLC, which owns Mt. Storm, a 264 MW wind facility located in Grant County, West Virginia,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 The consummation of the transaction is subject to customary closing conditions and certain third-party approvals and is expected to occur in the second half of 2026. Upon achieving repowering commercial operations, which is expected to occur in the second half of 2026, the facility will sell power to Microsoft under a 20-year PPA. The membership interests sold by the Company relate to interests under common control, and thus, the sale was accounted for as a transfer of assets under common control, with the difference between the cash received of $152 million and the net assets transferred of $51 million recorded as an adjustment to contributed capital.</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disposition as of October 2,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Mt. Storm</w:t>
            </w:r>
          </w:p>
        </w:tc>
        <w:tc>
          <w:tcPr>
            <w:tcW w:w="0" w:type="dxa"/>
            <w:vAlign w:val="bottom"/>
          </w:tcPr>
          <w:p>
            <w:pPr>
              <w:spacing w:after="0"/>
              <w:rPr>
                <w:sz w:val="1"/>
                <w:szCs w:val="1"/>
                <w:color w:val="auto"/>
              </w:rPr>
            </w:pPr>
          </w:p>
        </w:tc>
      </w:tr>
      <w:tr>
        <w:trPr>
          <w:trHeight w:val="17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2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52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transferred</w:t>
            </w:r>
          </w:p>
        </w:tc>
        <w:tc>
          <w:tcPr>
            <w:tcW w:w="5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52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transferred</w:t>
            </w:r>
          </w:p>
        </w:tc>
        <w:tc>
          <w:tcPr>
            <w:tcW w:w="5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transferred</w:t>
            </w:r>
          </w:p>
        </w:tc>
        <w:tc>
          <w:tcPr>
            <w:tcW w:w="5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jc w:val="right"/>
              <w:ind w:right="3389"/>
              <w:spacing w:after="0"/>
              <w:rPr>
                <w:sz w:val="20"/>
                <w:szCs w:val="20"/>
                <w:color w:val="auto"/>
              </w:rPr>
            </w:pPr>
            <w:r>
              <w:rPr>
                <w:rFonts w:ascii="Times New Roman" w:cs="Times New Roman" w:eastAsia="Times New Roman" w:hAnsi="Times New Roman"/>
                <w:sz w:val="14"/>
                <w:szCs w:val="14"/>
                <w:color w:val="auto"/>
              </w:rPr>
              <w:t>116</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396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5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color w:val="auto"/>
        </w:rPr>
        <w:t>Note 4 — Property, Plant and Equipment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major classes of property, plant, and equipment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Depreciable Lives</w:t>
            </w:r>
          </w:p>
        </w:tc>
      </w:tr>
      <w:tr>
        <w:trPr>
          <w:trHeight w:val="154"/>
        </w:trPr>
        <w:tc>
          <w:tcPr>
            <w:tcW w:w="22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86"/>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Facilities and equipment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13,302</w:t>
            </w: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3 - 40 Years</w:t>
            </w:r>
          </w:p>
        </w:tc>
      </w:tr>
      <w:tr>
        <w:trPr>
          <w:trHeight w:val="18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and improvements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0"/>
        </w:trPr>
        <w:tc>
          <w:tcPr>
            <w:tcW w:w="62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Construction in progress </w:t>
            </w:r>
            <w:r>
              <w:rPr>
                <w:rFonts w:ascii="Times New Roman" w:cs="Times New Roman" w:eastAsia="Times New Roman" w:hAnsi="Times New Roman"/>
                <w:sz w:val="18"/>
                <w:szCs w:val="18"/>
                <w:color w:val="auto"/>
                <w:vertAlign w:val="superscript"/>
              </w:rPr>
              <w:t>(a) (b)</w:t>
            </w: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71"/>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14,030</w:t>
            </w: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71"/>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
        </w:trPr>
        <w:tc>
          <w:tcPr>
            <w:tcW w:w="22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4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spacing w:after="0"/>
              <w:rPr>
                <w:sz w:val="10"/>
                <w:szCs w:val="10"/>
                <w:color w:val="auto"/>
              </w:rPr>
            </w:pPr>
          </w:p>
        </w:tc>
      </w:tr>
    </w:tbl>
    <w:p>
      <w:pPr>
        <w:spacing w:after="0" w:line="53" w:lineRule="exact"/>
        <w:rPr>
          <w:sz w:val="20"/>
          <w:szCs w:val="20"/>
          <w:color w:val="auto"/>
        </w:rPr>
      </w:pPr>
    </w:p>
    <w:p>
      <w:pPr>
        <w:ind w:left="60" w:firstLine="9"/>
        <w:spacing w:after="0" w:line="244" w:lineRule="auto"/>
        <w:tabs>
          <w:tab w:leader="none" w:pos="187" w:val="left"/>
        </w:tabs>
        <w:numPr>
          <w:ilvl w:val="0"/>
          <w:numId w:val="6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of December 31, 2025 and 2024, construction in progress included $24 million and $23 million, respectively, of capital expenditures that relate to prepaid long-term service agreements for facilities in the Flexible Generation segment.</w:t>
      </w:r>
    </w:p>
    <w:p>
      <w:pPr>
        <w:spacing w:after="0" w:line="4" w:lineRule="exact"/>
        <w:rPr>
          <w:rFonts w:ascii="Times New Roman" w:cs="Times New Roman" w:eastAsia="Times New Roman" w:hAnsi="Times New Roman"/>
          <w:sz w:val="16"/>
          <w:szCs w:val="16"/>
          <w:color w:val="auto"/>
          <w:vertAlign w:val="superscript"/>
        </w:rPr>
      </w:pPr>
    </w:p>
    <w:p>
      <w:pPr>
        <w:ind w:left="200" w:hanging="131"/>
        <w:spacing w:after="0"/>
        <w:tabs>
          <w:tab w:leader="none" w:pos="200" w:val="left"/>
        </w:tabs>
        <w:numPr>
          <w:ilvl w:val="0"/>
          <w:numId w:val="6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of December 31, 2025 and 2024, construction in progress included $12 million and $9 million, respectively, of accrued non-cash capital expenditures.</w:t>
      </w:r>
    </w:p>
    <w:p>
      <w:pPr>
        <w:spacing w:after="0" w:line="10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Depreciation expense related to property, plant and equipment during the years ended December 31, 2025, 2024 and 2023 was $662 million, $610 million and $514 million, respectively. The Company accelerated depreciation of both the Mt. Storm and Goat Mountain wind facilities related to the repowering of the facilities, which resulted in additional depreciation expense in the amount of $22 million for the year ended December 31, 2025.</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Company recorded long-lived asset impairments during the year ended December 31, 2023, as further described in Note 9, </w:t>
      </w:r>
      <w:r>
        <w:rPr>
          <w:rFonts w:ascii="Times New Roman" w:cs="Times New Roman" w:eastAsia="Times New Roman" w:hAnsi="Times New Roman"/>
          <w:sz w:val="14"/>
          <w:szCs w:val="14"/>
          <w:i w:val="1"/>
          <w:iCs w:val="1"/>
          <w:color w:val="auto"/>
        </w:rPr>
        <w:t>Asset Impairments.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Method Investments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Company’s equity investments in unconsolidated affiliates as of December 31, 2025: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414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2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Economic Interest</w:t>
            </w:r>
          </w:p>
        </w:tc>
        <w:tc>
          <w:tcPr>
            <w:tcW w:w="360" w:type="dxa"/>
            <w:vAlign w:val="bottom"/>
          </w:tcPr>
          <w:p>
            <w:pPr>
              <w:spacing w:after="0"/>
              <w:rPr>
                <w:sz w:val="16"/>
                <w:szCs w:val="16"/>
                <w:color w:val="auto"/>
              </w:rPr>
            </w:pPr>
          </w:p>
        </w:tc>
        <w:tc>
          <w:tcPr>
            <w:tcW w:w="206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 xml:space="preserve">Investment Balance </w:t>
            </w:r>
            <w:r>
              <w:rPr>
                <w:rFonts w:ascii="Times New Roman" w:cs="Times New Roman" w:eastAsia="Times New Roman" w:hAnsi="Times New Roman"/>
                <w:sz w:val="16"/>
                <w:szCs w:val="16"/>
                <w:b w:val="1"/>
                <w:bCs w:val="1"/>
                <w:color w:val="auto"/>
                <w:vertAlign w:val="superscript"/>
              </w:rPr>
              <w:t>(a)</w:t>
            </w:r>
          </w:p>
        </w:tc>
      </w:tr>
      <w:tr>
        <w:trPr>
          <w:trHeight w:val="159"/>
        </w:trPr>
        <w:tc>
          <w:tcPr>
            <w:tcW w:w="2200" w:type="dxa"/>
            <w:vAlign w:val="bottom"/>
            <w:tcBorders>
              <w:top w:val="single" w:sz="8" w:color="auto"/>
            </w:tcBorders>
          </w:tcPr>
          <w:p>
            <w:pPr>
              <w:spacing w:after="0"/>
              <w:rPr>
                <w:sz w:val="13"/>
                <w:szCs w:val="13"/>
                <w:color w:val="auto"/>
              </w:rPr>
            </w:pPr>
          </w:p>
        </w:tc>
        <w:tc>
          <w:tcPr>
            <w:tcW w:w="4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2"/>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6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Desert Sunlight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80"/>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6340" w:type="dxa"/>
            <w:vAlign w:val="bottom"/>
            <w:gridSpan w:val="3"/>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(b)</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22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20"/>
        </w:trPr>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4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60" w:type="dxa"/>
            <w:vAlign w:val="bottom"/>
          </w:tcPr>
          <w:p>
            <w:pPr>
              <w:spacing w:after="0"/>
              <w:rPr>
                <w:sz w:val="10"/>
                <w:szCs w:val="10"/>
                <w:color w:val="auto"/>
              </w:rPr>
            </w:pPr>
          </w:p>
        </w:tc>
      </w:tr>
    </w:tbl>
    <w:p>
      <w:pPr>
        <w:spacing w:after="0" w:line="33" w:lineRule="exact"/>
        <w:rPr>
          <w:sz w:val="20"/>
          <w:szCs w:val="20"/>
          <w:color w:val="auto"/>
        </w:rPr>
      </w:pPr>
    </w:p>
    <w:p>
      <w:pPr>
        <w:ind w:left="200" w:hanging="131"/>
        <w:spacing w:after="0"/>
        <w:tabs>
          <w:tab w:leader="none" w:pos="200" w:val="left"/>
        </w:tabs>
        <w:numPr>
          <w:ilvl w:val="0"/>
          <w:numId w:val="7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Company’s maximum exposure to loss is limited to its investment balances.</w:t>
      </w:r>
    </w:p>
    <w:p>
      <w:pPr>
        <w:spacing w:after="0" w:line="39"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7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GenConn is a VIE.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December 31, 2025 and 2024, the Company had $25 million and $20 million, respectively, of undistributed earnings from its equity method investments.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acquired its interest in Desert Sunlight on June 30, 2015, for $285 million, which resulted in a $181 million difference between the purchase price and the basis of the acquired assets and liabilities. The difference is attributable to the fair value of the property, plant and equipment and PPAs. The Company is amortizing the related basis differences to equity in earnings of unconsolidated subsidiaries over the related useful life of the underlying assets acquired. As of December 31, 2025, the carrying value of the basis difference is $109 million.</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pro-rata share of non-recourse debt held by unconsolidated affiliates was $259 million as of December 31, 2025.</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22" w:name="page123"/>
    <w:bookmarkEnd w:id="122"/>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Rosie Central BESS </w:t>
      </w:r>
      <w:r>
        <w:rPr>
          <w:rFonts w:ascii="Times New Roman" w:cs="Times New Roman" w:eastAsia="Times New Roman" w:hAnsi="Times New Roman"/>
          <w:sz w:val="14"/>
          <w:szCs w:val="14"/>
          <w:color w:val="auto"/>
        </w:rPr>
        <w:t>— On June 13, 2024, when the Rosamond Central BESS facility reached substantial completion, Clearway Renew redeemed Rosie Class B LLC’s entire investment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$28 million in Rosie Central BESS utilizing the additional purchase price paid by the Company,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Rosie Class B LLC’s equity investment in Rosie Central BESS was comprised of contributions from the Company and the third-party cash equity investor in Rosie TargetCo LLC during the year ended December 31, 2023. The Company previously accounted for its investment in Rosie Central BESS as an equity method investment.</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present summarized financial information for the Company’s equity method investments: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0"/>
        </w:trPr>
        <w:tc>
          <w:tcPr>
            <w:tcW w:w="6500" w:type="dxa"/>
            <w:vAlign w:val="bottom"/>
          </w:tcPr>
          <w:p>
            <w:pPr>
              <w:spacing w:after="0"/>
              <w:rPr>
                <w:sz w:val="13"/>
                <w:szCs w:val="13"/>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3"/>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Desert Sunlight</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080" w:type="dxa"/>
            <w:vAlign w:val="bottom"/>
          </w:tcPr>
          <w:p>
            <w:pPr>
              <w:jc w:val="right"/>
              <w:ind w:right="94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206</w:t>
            </w:r>
          </w:p>
        </w:tc>
        <w:tc>
          <w:tcPr>
            <w:tcW w:w="62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18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146</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17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113</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72"/>
        </w:trPr>
        <w:tc>
          <w:tcPr>
            <w:tcW w:w="65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(a)</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0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95</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25</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16</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8"/>
        </w:trPr>
        <w:tc>
          <w:tcPr>
            <w:tcW w:w="6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80" w:type="dxa"/>
            <w:vAlign w:val="bottom"/>
            <w:tcBorders>
              <w:bottom w:val="single" w:sz="8" w:color="auto"/>
            </w:tcBorders>
          </w:tcPr>
          <w:p>
            <w:pPr>
              <w:spacing w:after="0"/>
              <w:rPr>
                <w:sz w:val="13"/>
                <w:szCs w:val="13"/>
                <w:color w:val="auto"/>
              </w:rPr>
            </w:pPr>
          </w:p>
        </w:tc>
      </w:tr>
      <w:tr>
        <w:trPr>
          <w:trHeight w:val="150"/>
        </w:trPr>
        <w:tc>
          <w:tcPr>
            <w:tcW w:w="6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3"/>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4"/>
                <w:szCs w:val="14"/>
                <w:color w:val="auto"/>
              </w:rPr>
            </w:pPr>
          </w:p>
        </w:tc>
      </w:tr>
      <w:tr>
        <w:trPr>
          <w:trHeight w:val="18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Desert Sunlight</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77</w:t>
            </w:r>
          </w:p>
        </w:tc>
        <w:tc>
          <w:tcPr>
            <w:tcW w:w="62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8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1,025</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r>
      <w:tr>
        <w:trPr>
          <w:trHeight w:val="17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66</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8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653</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r>
      <w:tr>
        <w:trPr>
          <w:trHeight w:val="180"/>
        </w:trPr>
        <w:tc>
          <w:tcPr>
            <w:tcW w:w="650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7"/>
                <w:szCs w:val="17"/>
                <w:b w:val="1"/>
                <w:bCs w:val="1"/>
                <w:color w:val="auto"/>
                <w:vertAlign w:val="superscript"/>
              </w:rPr>
              <w:t>(a)</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72</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358</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33</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84"/>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208</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4" w:lineRule="exact"/>
        <w:rPr>
          <w:sz w:val="20"/>
          <w:szCs w:val="20"/>
          <w:color w:val="auto"/>
        </w:rPr>
      </w:pPr>
    </w:p>
    <w:p>
      <w:pPr>
        <w:ind w:left="200" w:hanging="131"/>
        <w:spacing w:after="0"/>
        <w:tabs>
          <w:tab w:leader="none" w:pos="200" w:val="left"/>
        </w:tabs>
        <w:numPr>
          <w:ilvl w:val="0"/>
          <w:numId w:val="7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Avenal, Elkhorn Ridge, GenConn and San Juan Mesa.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Variable Interest Entities, or VIEs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3" w:name="page124"/>
    <w:bookmarkEnd w:id="123"/>
    <w:p>
      <w:pPr>
        <w:ind w:left="320"/>
        <w:spacing w:after="0"/>
        <w:rPr>
          <w:sz w:val="20"/>
          <w:szCs w:val="20"/>
          <w:color w:val="auto"/>
        </w:rPr>
      </w:pPr>
      <w:r>
        <w:rPr>
          <w:rFonts w:ascii="Times New Roman" w:cs="Times New Roman" w:eastAsia="Times New Roman" w:hAnsi="Times New Roman"/>
          <w:sz w:val="14"/>
          <w:szCs w:val="14"/>
          <w:color w:val="auto"/>
        </w:rPr>
        <w:t>The following is a summary of significant activity during 2025 related to the Company’s consolidated VIEs:</w:t>
      </w:r>
    </w:p>
    <w:p>
      <w:pPr>
        <w:spacing w:after="0" w:line="134"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Honeycomb TE HoldCo LLC </w:t>
      </w:r>
      <w:r>
        <w:rPr>
          <w:rFonts w:ascii="Times New Roman" w:cs="Times New Roman" w:eastAsia="Times New Roman" w:hAnsi="Times New Roman"/>
          <w:sz w:val="14"/>
          <w:szCs w:val="14"/>
          <w:color w:val="auto"/>
        </w:rPr>
        <w:t>— 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October 15, 2025, Honeycomb 1 Holdco LLC, an indirect subsidiary of the Company, acquired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Honeycomb TargetCo. Honeycomb TargetCo consolidates as primary beneficiary, and through its ownership of the Class B membership interests, Honeycomb TE HoldCo LLC, a tax equity fund that owns the Honeycomb Portfolio BESS facilities. The Class A membership interests in Honeycomb TE HoldCo LLC are held by a tax equity investor and are reflected as redeemable noncontrolling interest on the Company’s consolidated balance sheet, as the tax equity arrangement provides the tax equity investor with the right to redeem their interests in the partnership for cash or other assets at a point in time.</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DGPV Funds </w:t>
      </w:r>
      <w:r>
        <w:rPr>
          <w:rFonts w:ascii="Times New Roman" w:cs="Times New Roman" w:eastAsia="Times New Roman" w:hAnsi="Times New Roman"/>
          <w:sz w:val="14"/>
          <w:szCs w:val="14"/>
          <w:color w:val="auto"/>
        </w:rPr>
        <w:t>— On August 11, 2025, Puma Class B LLC, an indirect subsidiary of the Company, acquired 100% of the Class A membership interests in Golden Puma Fund LLC, a tax equity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fund that owns several distributed solar facilities, from the tax equity investor for $3 million. Prior to the acquisition, the Company consolidated Golden Puma Fund LLC through its ownership of the Class B membership interests and role as managing member, and the Class A membership interests were reflected as noncontrolling interest on the Company’s consolidated balance sheet. The difference between the historical cost of the Company’s noncontrolling interest and the cash paid to acquire the Class A membership interests was less than $1 million.</w:t>
      </w:r>
    </w:p>
    <w:p>
      <w:pPr>
        <w:spacing w:after="0" w:line="95"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Pine Forest TargetCo </w:t>
      </w:r>
      <w:r>
        <w:rPr>
          <w:rFonts w:ascii="Times New Roman" w:cs="Times New Roman" w:eastAsia="Times New Roman" w:hAnsi="Times New Roman"/>
          <w:sz w:val="14"/>
          <w:szCs w:val="14"/>
          <w:color w:val="auto"/>
        </w:rPr>
        <w:t>— 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June 10, 2025, Pine Forest CE Class A Owner LLC, an indirect subsidiary of the Company, acquired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Class A membership interests in Pine Forest TargetCo, which is a partnership. The Company consolidates Pine Forest TargetCo as a VIE, as the Company is the primary beneficiary. Through its membership interests in Pine Forest TargetCo, the Company receives 50% of distributable cash. The Company recorded the third-party cash equity investor’s noncontrolling interest in Pine Forest TargetCo at the historical carrying amount, with the offset to contributed capital. Pine Forest TargetCo consolidates as primary beneficiary, and through its ownership of the Class B membership interests, Pine Forest TE HoldCo LLC, a tax equity fund that directly owns the Pine Forest solar and BESS facility. The Class A membership interests in Pine Forest TE HoldCo LLC are held by Pine Forest TE Class A, an indirect subsidiary of Clearway, Inc., and are reflected as noncontrolling interest on the Company’s consolidated balance sheet.</w:t>
      </w:r>
    </w:p>
    <w:p>
      <w:pPr>
        <w:spacing w:after="0" w:line="99"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Luna Valley TE Holdco LLC </w:t>
      </w:r>
      <w:r>
        <w:rPr>
          <w:rFonts w:ascii="Times New Roman" w:cs="Times New Roman" w:eastAsia="Times New Roman" w:hAnsi="Times New Roman"/>
          <w:sz w:val="14"/>
          <w:szCs w:val="14"/>
          <w:color w:val="auto"/>
        </w:rPr>
        <w:t>— 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April 29, 2025, LV-Daggett Parent Holdco LLC, an indirect subsidiary of the Company, acquired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Luna Valley Class B. Luna Valley Class B consolidates as primary beneficiary, and through its ownership of the Class B membership interests, Luna Valley TE Holdco LLC, a tax equity fund that owns the Luna Valley solar facility. The Class A membership interests in Luna Valley TE Holdco LLC are held by a tax equity investor and are reflected as redeemable noncontrolling interest on the Company’s consolidated balance sheet, as the tax equity arrangement provides the tax equity investor with the right to redeem their interests in the partnership for cash or other assets at a point in time.</w:t>
      </w:r>
    </w:p>
    <w:p>
      <w:pPr>
        <w:spacing w:after="0" w:line="27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Daggett 1 TE Holdco LLC </w:t>
      </w:r>
      <w:r>
        <w:rPr>
          <w:rFonts w:ascii="Times New Roman" w:cs="Times New Roman" w:eastAsia="Times New Roman" w:hAnsi="Times New Roman"/>
          <w:sz w:val="14"/>
          <w:szCs w:val="14"/>
          <w:color w:val="auto"/>
        </w:rPr>
        <w:t>— 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April 29, 2025, LV-Daggett Parent Holdco LLC acquired Daggett 1 Class B. Daggett 1 Class B</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consolidates as primary beneficiary, and through its ownership of the Class B membership interests, Daggett 1 TE Holdco LLC, a tax equity fund that owns the Daggett 1 BESS facility. The Class A membership interests in Daggett 1 TE Holdco LLC are held by a tax equity investor and are reflected as redeemable noncontrolling interest on the Company’s consolidated balance sheet, as the tax equity arrangement provides the tax equity investor with the right to redeem their interests in the partnership for cash or other assets at a point in time.</w:t>
      </w:r>
    </w:p>
    <w:p>
      <w:pPr>
        <w:spacing w:after="0" w:line="95"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Rosie South TargetCo </w:t>
      </w:r>
      <w:r>
        <w:rPr>
          <w:rFonts w:ascii="Times New Roman" w:cs="Times New Roman" w:eastAsia="Times New Roman" w:hAnsi="Times New Roman"/>
          <w:sz w:val="14"/>
          <w:szCs w:val="14"/>
          <w:color w:val="auto"/>
        </w:rPr>
        <w:t>— 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March 20, 2025, Rosamond South Investment LLC, an indirect subsidiary of the Company, acquired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Class A membership interests in Rosie South TargetCo, which is a partnership. The Company consolidates Rosie South TargetCo as a VIE, as the Company is the primary beneficiary. Through its membership interests in Rosie South TargetCo, the Company receives 50% of distributable cash. The Company recorded the third-party cash equity investor’s noncontrolling interest in Rosie South TargetCo at the historical carrying amount, with the offset to contributed capital. Rosie South TargetCo consolidates as primary beneficiary, and through its ownership of the Class B membership interests, Rosie South TE Holdco LLC, a tax equity fund that directly owns the Rosamond South I solar and BESS facility. The Class A membership interests in Rosie South TE Holdco LLC are held by a tax equity investor and are reflected as noncontrolling interest on the Company’s consolidated balance sheet.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4" w:name="page125"/>
    <w:bookmarkEnd w:id="124"/>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updated the following disclosure of assets and liabilities for its consolidated VIEs to present combined totals, and has revised the amounts as of December 31, 2024 to reflect accurate comparative totals for the same relevant entities: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Pr>
          <w:p>
            <w:pPr>
              <w:spacing w:after="0"/>
              <w:rPr>
                <w:sz w:val="14"/>
                <w:szCs w:val="14"/>
                <w:color w:val="auto"/>
              </w:rPr>
            </w:pP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r>
      <w:tr>
        <w:trPr>
          <w:trHeight w:val="18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5,985</w:t>
            </w:r>
          </w:p>
        </w:tc>
      </w:tr>
      <w:tr>
        <w:trPr>
          <w:trHeight w:val="171"/>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w:t>
            </w:r>
          </w:p>
        </w:tc>
      </w:tr>
      <w:tr>
        <w:trPr>
          <w:trHeight w:val="184"/>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94"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amounts and estimated fair values of the Company’s recorded financial instruments not carried at fair market value or that do not approximate fair value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20" w:type="dxa"/>
            <w:vAlign w:val="bottom"/>
          </w:tcPr>
          <w:p>
            <w:pPr>
              <w:spacing w:after="0"/>
              <w:rPr>
                <w:sz w:val="13"/>
                <w:szCs w:val="13"/>
                <w:color w:val="auto"/>
              </w:rPr>
            </w:pPr>
          </w:p>
        </w:tc>
        <w:tc>
          <w:tcPr>
            <w:tcW w:w="2360" w:type="dxa"/>
            <w:vAlign w:val="bottom"/>
            <w:gridSpan w:val="2"/>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r>
      <w:tr>
        <w:trPr>
          <w:trHeight w:val="154"/>
        </w:trPr>
        <w:tc>
          <w:tcPr>
            <w:tcW w:w="6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9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4"/>
          </w:tcPr>
          <w:p>
            <w:pPr>
              <w:jc w:val="right"/>
              <w:ind w:right="119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3"/>
                <w:szCs w:val="13"/>
                <w:color w:val="auto"/>
              </w:rPr>
            </w:pPr>
          </w:p>
        </w:tc>
      </w:tr>
      <w:tr>
        <w:trPr>
          <w:trHeight w:val="18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0"/>
        </w:trPr>
        <w:tc>
          <w:tcPr>
            <w:tcW w:w="6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debt, including current portion — affiliate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including current portion — external </w:t>
            </w:r>
            <w:r>
              <w:rPr>
                <w:rFonts w:ascii="Times New Roman" w:cs="Times New Roman" w:eastAsia="Times New Roman" w:hAnsi="Times New Roman"/>
                <w:sz w:val="18"/>
                <w:szCs w:val="18"/>
                <w:color w:val="auto"/>
                <w:vertAlign w:val="superscript"/>
              </w:rPr>
              <w:t>(a)</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8,676</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color w:val="auto"/>
              </w:rPr>
              <w:t>7,237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7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Excludes net debt issuance costs, which are recorded as a reduction to long-term debt on the Company’s consolidated balance sheets.</w:t>
      </w:r>
    </w:p>
    <w:p>
      <w:pPr>
        <w:spacing w:after="0" w:line="10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340" w:type="dxa"/>
            <w:vAlign w:val="bottom"/>
          </w:tcPr>
          <w:p>
            <w:pPr>
              <w:spacing w:after="0"/>
              <w:rPr>
                <w:sz w:val="13"/>
                <w:szCs w:val="13"/>
                <w:color w:val="auto"/>
              </w:rPr>
            </w:pPr>
          </w:p>
        </w:tc>
        <w:tc>
          <w:tcPr>
            <w:tcW w:w="214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r>
      <w:tr>
        <w:trPr>
          <w:trHeight w:val="154"/>
        </w:trPr>
        <w:tc>
          <w:tcPr>
            <w:tcW w:w="61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0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2,038</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1,922</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28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(a)</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30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(a)</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500" w:type="dxa"/>
            <w:vAlign w:val="bottom"/>
            <w:gridSpan w:val="2"/>
          </w:tcPr>
          <w:p>
            <w:pPr>
              <w:ind w:left="30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4"/>
                <w:szCs w:val="14"/>
                <w:b w:val="1"/>
                <w:bCs w:val="1"/>
                <w:color w:val="auto"/>
                <w:vertAlign w:val="superscript"/>
              </w:rPr>
              <w:t>(b)</w:t>
            </w:r>
          </w:p>
        </w:tc>
        <w:tc>
          <w:tcPr>
            <w:tcW w:w="640" w:type="dxa"/>
            <w:vAlign w:val="bottom"/>
          </w:tcPr>
          <w:p>
            <w:pPr>
              <w:spacing w:after="0"/>
              <w:rPr>
                <w:sz w:val="13"/>
                <w:szCs w:val="13"/>
                <w:color w:val="auto"/>
              </w:rPr>
            </w:pPr>
          </w:p>
        </w:tc>
        <w:tc>
          <w:tcPr>
            <w:tcW w:w="1140" w:type="dxa"/>
            <w:vAlign w:val="bottom"/>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gridSpan w:val="2"/>
          </w:tcPr>
          <w:p>
            <w:pPr>
              <w:ind w:left="28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4"/>
                <w:szCs w:val="14"/>
                <w:b w:val="1"/>
                <w:bCs w:val="1"/>
                <w:color w:val="auto"/>
                <w:vertAlign w:val="superscript"/>
              </w:rPr>
              <w:t>(b)</w:t>
            </w:r>
          </w:p>
        </w:tc>
        <w:tc>
          <w:tcPr>
            <w:tcW w:w="640" w:type="dxa"/>
            <w:vAlign w:val="bottom"/>
          </w:tcPr>
          <w:p>
            <w:pPr>
              <w:spacing w:after="0"/>
              <w:rPr>
                <w:sz w:val="13"/>
                <w:szCs w:val="13"/>
                <w:color w:val="auto"/>
              </w:rPr>
            </w:pPr>
          </w:p>
        </w:tc>
        <w:tc>
          <w:tcPr>
            <w:tcW w:w="1140" w:type="dxa"/>
            <w:vAlign w:val="bottom"/>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0"/>
        </w:trPr>
        <w:tc>
          <w:tcPr>
            <w:tcW w:w="3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(c)</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Other financial instruments </w:t>
            </w:r>
            <w:r>
              <w:rPr>
                <w:rFonts w:ascii="Times New Roman" w:cs="Times New Roman" w:eastAsia="Times New Roman" w:hAnsi="Times New Roman"/>
                <w:sz w:val="8"/>
                <w:szCs w:val="8"/>
                <w:b w:val="1"/>
                <w:bCs w:val="1"/>
                <w:color w:val="auto"/>
              </w:rPr>
              <w:t>(d)</w:t>
            </w:r>
          </w:p>
        </w:tc>
        <w:tc>
          <w:tcPr>
            <w:tcW w:w="3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80"/>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0" w:hanging="131"/>
        <w:spacing w:after="0"/>
        <w:tabs>
          <w:tab w:leader="none" w:pos="200" w:val="left"/>
        </w:tabs>
        <w:numPr>
          <w:ilvl w:val="0"/>
          <w:numId w:val="7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There were no derivative assets or liabilities classified as Level 1 as of December 31, 2025 and 2024.</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7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Company’s interest rate swaps are measured at fair value using an income approach, which use readily observable inputs, such as forward interest rates (e.g., SOFR) and contractual terms to estimate fair value.</w:t>
      </w:r>
    </w:p>
    <w:p>
      <w:pPr>
        <w:spacing w:after="0" w:line="39" w:lineRule="exact"/>
        <w:rPr>
          <w:rFonts w:ascii="Times New Roman" w:cs="Times New Roman" w:eastAsia="Times New Roman" w:hAnsi="Times New Roman"/>
          <w:sz w:val="16"/>
          <w:szCs w:val="16"/>
          <w:color w:val="auto"/>
          <w:vertAlign w:val="superscript"/>
        </w:rPr>
      </w:pPr>
    </w:p>
    <w:p>
      <w:pPr>
        <w:ind w:left="200" w:hanging="131"/>
        <w:spacing w:after="0" w:line="185" w:lineRule="auto"/>
        <w:tabs>
          <w:tab w:leader="none" w:pos="200" w:val="left"/>
        </w:tabs>
        <w:numPr>
          <w:ilvl w:val="0"/>
          <w:numId w:val="7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short-term backbone transportation service contracts classified as Level 2 and heat rate call option contracts classified as Level 3.</w:t>
      </w:r>
    </w:p>
    <w:p>
      <w:pPr>
        <w:spacing w:after="0" w:line="4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7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SREC contract.</w:t>
      </w:r>
    </w:p>
    <w:p>
      <w:pPr>
        <w:spacing w:after="0" w:line="50" w:lineRule="exact"/>
        <w:rPr>
          <w:rFonts w:ascii="Times New Roman" w:cs="Times New Roman" w:eastAsia="Times New Roman" w:hAnsi="Times New Roman"/>
          <w:sz w:val="16"/>
          <w:szCs w:val="16"/>
          <w:color w:val="auto"/>
          <w:vertAlign w:val="superscript"/>
        </w:rPr>
      </w:pPr>
    </w:p>
    <w:p>
      <w:pPr>
        <w:ind w:left="60" w:firstLine="9"/>
        <w:spacing w:after="0" w:line="263" w:lineRule="auto"/>
        <w:tabs>
          <w:tab w:leader="none" w:pos="183" w:val="left"/>
        </w:tabs>
        <w:numPr>
          <w:ilvl w:val="0"/>
          <w:numId w:val="7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long-term power commodity contracts and heat rate call option contracts classified as Level 3. As of December 31, 2025 and 2024, $330 million and $366 million, respectively, related to long-term power commodity contracts, and $3 million and $5 million, respectively, related to heat rate call option contracts.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320" w:type="dxa"/>
            <w:vAlign w:val="bottom"/>
            <w:tcBorders>
              <w:bottom w:val="single" w:sz="8" w:color="auto"/>
            </w:tcBorders>
          </w:tcPr>
          <w:p>
            <w:pPr>
              <w:spacing w:after="0"/>
              <w:rPr>
                <w:sz w:val="14"/>
                <w:szCs w:val="14"/>
                <w:color w:val="auto"/>
              </w:rPr>
            </w:pPr>
          </w:p>
        </w:tc>
      </w:tr>
      <w:tr>
        <w:trPr>
          <w:trHeight w:val="160"/>
        </w:trPr>
        <w:tc>
          <w:tcPr>
            <w:tcW w:w="6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w w:val="97"/>
              </w:rPr>
              <w:t>Fair Value Measurement Using Significant Unobservable Inputs (Level 3)</w:t>
            </w:r>
          </w:p>
        </w:tc>
      </w:tr>
      <w:tr>
        <w:trPr>
          <w:trHeight w:val="17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18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14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losses for the period included in earnings</w:t>
            </w:r>
          </w:p>
        </w:tc>
        <w:tc>
          <w:tcPr>
            <w:tcW w:w="14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99"/>
        </w:trPr>
        <w:tc>
          <w:tcPr>
            <w:tcW w:w="6940" w:type="dxa"/>
            <w:vAlign w:val="bottom"/>
            <w:shd w:val="clear" w:color="auto" w:fill="CCEEFF"/>
          </w:tcPr>
          <w:p>
            <w:pPr>
              <w:ind w:left="120"/>
              <w:spacing w:after="0" w:line="100" w:lineRule="exact"/>
              <w:rPr>
                <w:sz w:val="20"/>
                <w:szCs w:val="20"/>
                <w:color w:val="auto"/>
              </w:rPr>
            </w:pPr>
            <w:r>
              <w:rPr>
                <w:rFonts w:ascii="Times New Roman" w:cs="Times New Roman" w:eastAsia="Times New Roman" w:hAnsi="Times New Roman"/>
                <w:sz w:val="11"/>
                <w:szCs w:val="11"/>
                <w:color w:val="auto"/>
              </w:rPr>
              <w:t>Change in unrealized losses included in earnings for derivatives and other financial instruments held as of December</w:t>
            </w:r>
          </w:p>
        </w:tc>
        <w:tc>
          <w:tcPr>
            <w:tcW w:w="1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191"/>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December 31, 2025, contracts valued with prices provided by models and other valuation techniques make up 8% of derivative assets, 93% of derivative liabilities and 100% of other financial instruments.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6" w:name="page127"/>
    <w:bookmarkEnd w:id="126"/>
    <w:p>
      <w:pPr>
        <w:ind w:left="320"/>
        <w:spacing w:after="0"/>
        <w:rPr>
          <w:sz w:val="20"/>
          <w:szCs w:val="20"/>
          <w:color w:val="auto"/>
        </w:rPr>
      </w:pPr>
      <w:r>
        <w:rPr>
          <w:rFonts w:ascii="Times New Roman" w:cs="Times New Roman" w:eastAsia="Times New Roman" w:hAnsi="Times New Roman"/>
          <w:sz w:val="14"/>
          <w:szCs w:val="14"/>
          <w:color w:val="auto"/>
        </w:rPr>
        <w:t>The following tables quantify the significant unobservable inputs used in developing the fair value of the Company’s Level 3 positions: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Input/Range</w:t>
            </w: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740" w:type="dxa"/>
            <w:vAlign w:val="bottom"/>
            <w:vMerge w:val="restart"/>
          </w:tcPr>
          <w:p>
            <w:pPr>
              <w:jc w:val="center"/>
              <w:ind w:left="29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5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300" w:type="dxa"/>
            <w:vAlign w:val="bottom"/>
          </w:tcPr>
          <w:p>
            <w:pPr>
              <w:spacing w:after="0"/>
              <w:rPr>
                <w:sz w:val="11"/>
                <w:szCs w:val="11"/>
                <w:color w:val="auto"/>
              </w:rPr>
            </w:pP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0" w:type="dxa"/>
            <w:vAlign w:val="bottom"/>
          </w:tcPr>
          <w:p>
            <w:pPr>
              <w:spacing w:after="0"/>
              <w:rPr>
                <w:sz w:val="11"/>
                <w:szCs w:val="11"/>
                <w:color w:val="auto"/>
              </w:rPr>
            </w:pPr>
          </w:p>
        </w:tc>
        <w:tc>
          <w:tcPr>
            <w:tcW w:w="11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1"/>
                <w:szCs w:val="11"/>
                <w:color w:val="auto"/>
              </w:rPr>
            </w:pPr>
          </w:p>
        </w:tc>
        <w:tc>
          <w:tcPr>
            <w:tcW w:w="12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920" w:type="dxa"/>
            <w:vAlign w:val="bottom"/>
            <w:gridSpan w:val="2"/>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Long-term Power Commodity</w:t>
            </w:r>
          </w:p>
        </w:tc>
        <w:tc>
          <w:tcPr>
            <w:tcW w:w="740" w:type="dxa"/>
            <w:vAlign w:val="bottom"/>
            <w:vMerge w:val="restart"/>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vMerge w:val="restart"/>
            <w:shd w:val="clear" w:color="auto" w:fill="CCEEFF"/>
          </w:tcPr>
          <w:p>
            <w:pPr>
              <w:jc w:val="right"/>
              <w:ind w:right="675"/>
              <w:spacing w:after="0"/>
              <w:rPr>
                <w:sz w:val="20"/>
                <w:szCs w:val="20"/>
                <w:color w:val="auto"/>
              </w:rPr>
            </w:pPr>
            <w:r>
              <w:rPr>
                <w:rFonts w:ascii="Times New Roman" w:cs="Times New Roman" w:eastAsia="Times New Roman" w:hAnsi="Times New Roman"/>
                <w:sz w:val="13"/>
                <w:szCs w:val="13"/>
                <w:color w:val="auto"/>
              </w:rPr>
              <w:t>— $</w:t>
            </w:r>
          </w:p>
        </w:tc>
        <w:tc>
          <w:tcPr>
            <w:tcW w:w="1700" w:type="dxa"/>
            <w:vAlign w:val="bottom"/>
            <w:gridSpan w:val="2"/>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330 Discounted Cash Flow</w:t>
            </w:r>
          </w:p>
        </w:tc>
        <w:tc>
          <w:tcPr>
            <w:tcW w:w="150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Forward Market Price ($</w:t>
            </w: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34.04</w:t>
            </w: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56.51</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74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per MWh)</w:t>
            </w:r>
          </w:p>
        </w:tc>
        <w:tc>
          <w:tcPr>
            <w:tcW w:w="3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740" w:type="dxa"/>
            <w:vAlign w:val="bottom"/>
          </w:tcPr>
          <w:p>
            <w:pPr>
              <w:spacing w:after="0"/>
              <w:rPr>
                <w:sz w:val="12"/>
                <w:szCs w:val="12"/>
                <w:color w:val="auto"/>
              </w:rPr>
            </w:pPr>
          </w:p>
        </w:tc>
        <w:tc>
          <w:tcPr>
            <w:tcW w:w="1180" w:type="dxa"/>
            <w:vAlign w:val="bottom"/>
          </w:tcPr>
          <w:p>
            <w:pPr>
              <w:jc w:val="right"/>
              <w:ind w:right="815"/>
              <w:spacing w:after="0"/>
              <w:rPr>
                <w:sz w:val="20"/>
                <w:szCs w:val="20"/>
                <w:color w:val="auto"/>
              </w:rPr>
            </w:pPr>
            <w:r>
              <w:rPr>
                <w:rFonts w:ascii="Times New Roman" w:cs="Times New Roman" w:eastAsia="Times New Roman" w:hAnsi="Times New Roman"/>
                <w:sz w:val="13"/>
                <w:szCs w:val="13"/>
                <w:color w:val="auto"/>
              </w:rPr>
              <w:t>13</w:t>
            </w: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3 Option Model</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per MWh)</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260.77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42.23</w:t>
            </w:r>
          </w:p>
        </w:tc>
        <w:tc>
          <w:tcPr>
            <w:tcW w:w="0" w:type="dxa"/>
            <w:vAlign w:val="bottom"/>
          </w:tcPr>
          <w:p>
            <w:pPr>
              <w:spacing w:after="0"/>
              <w:rPr>
                <w:sz w:val="1"/>
                <w:szCs w:val="1"/>
                <w:color w:val="auto"/>
              </w:rPr>
            </w:pPr>
          </w:p>
        </w:tc>
      </w:tr>
      <w:tr>
        <w:trPr>
          <w:trHeight w:val="167"/>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Option Model</w:t>
            </w:r>
          </w:p>
        </w:tc>
        <w:tc>
          <w:tcPr>
            <w:tcW w:w="15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7"/>
              </w:rPr>
              <w:t>Forward Market Price ($</w:t>
            </w:r>
          </w:p>
        </w:tc>
        <w:tc>
          <w:tcPr>
            <w:tcW w:w="30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0.92</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10.15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per MMBtu)</w:t>
            </w: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5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Forecast annual generation</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74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815"/>
              <w:spacing w:after="0"/>
              <w:rPr>
                <w:sz w:val="20"/>
                <w:szCs w:val="20"/>
                <w:color w:val="auto"/>
              </w:rPr>
            </w:pPr>
            <w:r>
              <w:rPr>
                <w:rFonts w:ascii="Times New Roman" w:cs="Times New Roman" w:eastAsia="Times New Roman" w:hAnsi="Times New Roman"/>
                <w:sz w:val="13"/>
                <w:szCs w:val="13"/>
                <w:color w:val="auto"/>
              </w:rPr>
              <w:t>7</w:t>
            </w:r>
          </w:p>
        </w:tc>
        <w:tc>
          <w:tcPr>
            <w:tcW w:w="1700" w:type="dxa"/>
            <w:vAlign w:val="bottom"/>
            <w:gridSpan w:val="2"/>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 Discounted Cash Flow</w:t>
            </w:r>
          </w:p>
        </w:tc>
        <w:tc>
          <w:tcPr>
            <w:tcW w:w="150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levels of certain DG solar</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60,047 MWh</w:t>
            </w: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7"/>
              </w:rPr>
              <w:t>120,094 MWh</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108,791 MWh</w:t>
            </w:r>
          </w:p>
        </w:tc>
        <w:tc>
          <w:tcPr>
            <w:tcW w:w="0" w:type="dxa"/>
            <w:vAlign w:val="bottom"/>
          </w:tcPr>
          <w:p>
            <w:pPr>
              <w:spacing w:after="0"/>
              <w:rPr>
                <w:sz w:val="1"/>
                <w:szCs w:val="1"/>
                <w:color w:val="auto"/>
              </w:rPr>
            </w:pPr>
          </w:p>
        </w:tc>
      </w:tr>
      <w:tr>
        <w:trPr>
          <w:trHeight w:val="170"/>
        </w:trPr>
        <w:tc>
          <w:tcPr>
            <w:tcW w:w="2240" w:type="dxa"/>
            <w:vAlign w:val="bottom"/>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22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675"/>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w w:val="96"/>
              </w:rPr>
              <w:t>Input/Range</w:t>
            </w: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740" w:type="dxa"/>
            <w:vAlign w:val="bottom"/>
            <w:vMerge w:val="restart"/>
          </w:tcPr>
          <w:p>
            <w:pPr>
              <w:jc w:val="center"/>
              <w:ind w:left="293"/>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60" w:type="dxa"/>
            <w:vAlign w:val="bottom"/>
          </w:tcPr>
          <w:p>
            <w:pPr>
              <w:spacing w:after="0"/>
              <w:rPr>
                <w:sz w:val="10"/>
                <w:szCs w:val="10"/>
                <w:color w:val="auto"/>
              </w:rPr>
            </w:pPr>
          </w:p>
        </w:tc>
        <w:tc>
          <w:tcPr>
            <w:tcW w:w="144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5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7"/>
              </w:rPr>
              <w:t>Significant Unobservable</w:t>
            </w:r>
          </w:p>
        </w:tc>
        <w:tc>
          <w:tcPr>
            <w:tcW w:w="300" w:type="dxa"/>
            <w:vAlign w:val="bottom"/>
          </w:tcPr>
          <w:p>
            <w:pPr>
              <w:spacing w:after="0"/>
              <w:rPr>
                <w:sz w:val="10"/>
                <w:szCs w:val="10"/>
                <w:color w:val="auto"/>
              </w:rPr>
            </w:pP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Low</w:t>
            </w:r>
          </w:p>
        </w:tc>
        <w:tc>
          <w:tcPr>
            <w:tcW w:w="180" w:type="dxa"/>
            <w:vAlign w:val="bottom"/>
          </w:tcPr>
          <w:p>
            <w:pPr>
              <w:spacing w:after="0"/>
              <w:rPr>
                <w:sz w:val="10"/>
                <w:szCs w:val="10"/>
                <w:color w:val="auto"/>
              </w:rPr>
            </w:pPr>
          </w:p>
        </w:tc>
        <w:tc>
          <w:tcPr>
            <w:tcW w:w="1140" w:type="dxa"/>
            <w:vAlign w:val="bottom"/>
            <w:vMerge w:val="restart"/>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w w:val="94"/>
              </w:rPr>
              <w:t>High</w:t>
            </w:r>
          </w:p>
        </w:tc>
        <w:tc>
          <w:tcPr>
            <w:tcW w:w="80" w:type="dxa"/>
            <w:vAlign w:val="bottom"/>
          </w:tcPr>
          <w:p>
            <w:pPr>
              <w:spacing w:after="0"/>
              <w:rPr>
                <w:sz w:val="10"/>
                <w:szCs w:val="10"/>
                <w:color w:val="auto"/>
              </w:rPr>
            </w:pPr>
          </w:p>
        </w:tc>
        <w:tc>
          <w:tcPr>
            <w:tcW w:w="122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Long-term Power Commodity Contracts </w:t>
            </w:r>
            <w:r>
              <w:rPr>
                <w:rFonts w:ascii="Times New Roman" w:cs="Times New Roman" w:eastAsia="Times New Roman" w:hAnsi="Times New Roman"/>
                <w:sz w:val="13"/>
                <w:szCs w:val="13"/>
                <w:color w:val="auto"/>
              </w:rPr>
              <w:t>$</w:t>
            </w:r>
          </w:p>
        </w:tc>
        <w:tc>
          <w:tcPr>
            <w:tcW w:w="1180" w:type="dxa"/>
            <w:vAlign w:val="bottom"/>
            <w:vMerge w:val="restart"/>
            <w:shd w:val="clear" w:color="auto" w:fill="CCEEFF"/>
          </w:tcPr>
          <w:p>
            <w:pPr>
              <w:jc w:val="right"/>
              <w:ind w:right="695"/>
              <w:spacing w:after="0"/>
              <w:rPr>
                <w:sz w:val="20"/>
                <w:szCs w:val="20"/>
                <w:color w:val="auto"/>
              </w:rPr>
            </w:pPr>
            <w:r>
              <w:rPr>
                <w:rFonts w:ascii="Times New Roman" w:cs="Times New Roman" w:eastAsia="Times New Roman" w:hAnsi="Times New Roman"/>
                <w:sz w:val="13"/>
                <w:szCs w:val="13"/>
                <w:color w:val="auto"/>
              </w:rPr>
              <w:t>— $</w:t>
            </w:r>
          </w:p>
        </w:tc>
        <w:tc>
          <w:tcPr>
            <w:tcW w:w="1700" w:type="dxa"/>
            <w:vAlign w:val="bottom"/>
            <w:gridSpan w:val="2"/>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rPr>
              <w:t>366 Discounted Cash Flow</w:t>
            </w:r>
          </w:p>
        </w:tc>
        <w:tc>
          <w:tcPr>
            <w:tcW w:w="15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w:t>
            </w: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18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0" w:type="dxa"/>
            <w:vAlign w:val="bottom"/>
          </w:tcPr>
          <w:p>
            <w:pPr>
              <w:spacing w:after="0"/>
              <w:rPr>
                <w:sz w:val="1"/>
                <w:szCs w:val="1"/>
                <w:color w:val="auto"/>
              </w:rPr>
            </w:pPr>
          </w:p>
        </w:tc>
      </w:tr>
      <w:tr>
        <w:trPr>
          <w:trHeight w:val="170"/>
        </w:trPr>
        <w:tc>
          <w:tcPr>
            <w:tcW w:w="2980" w:type="dxa"/>
            <w:vAlign w:val="bottom"/>
            <w:gridSpan w:val="2"/>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per MWh)</w:t>
            </w:r>
          </w:p>
        </w:tc>
        <w:tc>
          <w:tcPr>
            <w:tcW w:w="3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740" w:type="dxa"/>
            <w:vAlign w:val="bottom"/>
          </w:tcPr>
          <w:p>
            <w:pPr>
              <w:spacing w:after="0"/>
              <w:rPr>
                <w:sz w:val="12"/>
                <w:szCs w:val="12"/>
                <w:color w:val="auto"/>
              </w:rPr>
            </w:pPr>
          </w:p>
        </w:tc>
        <w:tc>
          <w:tcPr>
            <w:tcW w:w="1180" w:type="dxa"/>
            <w:vAlign w:val="bottom"/>
          </w:tcPr>
          <w:p>
            <w:pPr>
              <w:jc w:val="right"/>
              <w:ind w:right="815"/>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5</w:t>
            </w: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Option Model</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per MWh)</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1,011.79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0" w:type="dxa"/>
            <w:vAlign w:val="bottom"/>
          </w:tcPr>
          <w:p>
            <w:pPr>
              <w:spacing w:after="0"/>
              <w:rPr>
                <w:sz w:val="1"/>
                <w:szCs w:val="1"/>
                <w:color w:val="auto"/>
              </w:rPr>
            </w:pPr>
          </w:p>
        </w:tc>
      </w:tr>
      <w:tr>
        <w:trPr>
          <w:trHeight w:val="167"/>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Option Model</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w:t>
            </w:r>
          </w:p>
        </w:tc>
        <w:tc>
          <w:tcPr>
            <w:tcW w:w="30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0.85</w:t>
            </w:r>
          </w:p>
        </w:tc>
        <w:tc>
          <w:tcPr>
            <w:tcW w:w="18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(per MMBtu)</w:t>
            </w: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5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Forecast annual generation</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74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815"/>
              <w:spacing w:after="0"/>
              <w:rPr>
                <w:sz w:val="20"/>
                <w:szCs w:val="20"/>
                <w:color w:val="auto"/>
              </w:rPr>
            </w:pPr>
            <w:r>
              <w:rPr>
                <w:rFonts w:ascii="Times New Roman" w:cs="Times New Roman" w:eastAsia="Times New Roman" w:hAnsi="Times New Roman"/>
                <w:sz w:val="13"/>
                <w:szCs w:val="13"/>
                <w:color w:val="auto"/>
              </w:rPr>
              <w:t>10</w:t>
            </w:r>
          </w:p>
        </w:tc>
        <w:tc>
          <w:tcPr>
            <w:tcW w:w="1700" w:type="dxa"/>
            <w:vAlign w:val="bottom"/>
            <w:gridSpan w:val="2"/>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rPr>
              <w:t>— Discounted Cash Flow</w:t>
            </w:r>
          </w:p>
        </w:tc>
        <w:tc>
          <w:tcPr>
            <w:tcW w:w="150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levels of certain DG solar</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59,425 MWh</w:t>
            </w: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7"/>
              </w:rPr>
              <w:t>118,850 MWh</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111,091 MWh</w:t>
            </w:r>
          </w:p>
        </w:tc>
        <w:tc>
          <w:tcPr>
            <w:tcW w:w="0" w:type="dxa"/>
            <w:vAlign w:val="bottom"/>
          </w:tcPr>
          <w:p>
            <w:pPr>
              <w:spacing w:after="0"/>
              <w:rPr>
                <w:sz w:val="1"/>
                <w:szCs w:val="1"/>
                <w:color w:val="auto"/>
              </w:rPr>
            </w:pPr>
          </w:p>
        </w:tc>
      </w:tr>
      <w:tr>
        <w:trPr>
          <w:trHeight w:val="170"/>
        </w:trPr>
        <w:tc>
          <w:tcPr>
            <w:tcW w:w="2240" w:type="dxa"/>
            <w:vAlign w:val="bottom"/>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 provides the impact on the fair value measurements to increases/(decreases) in significant unobservable inputs as of December 31, 2025 and </w:t>
      </w:r>
      <w:r>
        <w:rPr>
          <w:rFonts w:ascii="Times New Roman" w:cs="Times New Roman" w:eastAsia="Times New Roman" w:hAnsi="Times New Roman"/>
          <w:sz w:val="12"/>
          <w:szCs w:val="12"/>
          <w:color w:val="auto"/>
        </w:rPr>
        <w:t>2024</w:t>
      </w:r>
      <w:r>
        <w:rPr>
          <w:rFonts w:ascii="Times New Roman" w:cs="Times New Roman" w:eastAsia="Times New Roman" w:hAnsi="Times New Roman"/>
          <w:sz w:val="14"/>
          <w:szCs w:val="14"/>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272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8"/>
              </w:rPr>
              <w:t>Significant Observable Input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Position</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Change In Input</w:t>
            </w:r>
          </w:p>
        </w:tc>
        <w:tc>
          <w:tcPr>
            <w:tcW w:w="2720" w:type="dxa"/>
            <w:vAlign w:val="bottom"/>
            <w:tcBorders>
              <w:bottom w:val="single" w:sz="8" w:color="auto"/>
            </w:tcBorders>
          </w:tcPr>
          <w:p>
            <w:pPr>
              <w:jc w:val="center"/>
              <w:ind w:left="116"/>
              <w:spacing w:after="0"/>
              <w:rPr>
                <w:sz w:val="20"/>
                <w:szCs w:val="20"/>
                <w:color w:val="auto"/>
              </w:rPr>
            </w:pPr>
            <w:r>
              <w:rPr>
                <w:rFonts w:ascii="Times New Roman" w:cs="Times New Roman" w:eastAsia="Times New Roman" w:hAnsi="Times New Roman"/>
                <w:sz w:val="13"/>
                <w:szCs w:val="13"/>
                <w:b w:val="1"/>
                <w:bCs w:val="1"/>
                <w:color w:val="auto"/>
                <w:w w:val="97"/>
              </w:rPr>
              <w:t>Impact on Fair Value Measurement</w:t>
            </w:r>
          </w:p>
        </w:tc>
      </w:tr>
      <w:tr>
        <w:trPr>
          <w:trHeight w:val="16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Energy-Related Commodity Contracts</w:t>
            </w:r>
          </w:p>
        </w:tc>
        <w:tc>
          <w:tcPr>
            <w:tcW w:w="272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7"/>
              </w:rPr>
              <w:t>Forward Market Price Power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Increase/(Decrease)</w:t>
            </w:r>
          </w:p>
        </w:tc>
        <w:tc>
          <w:tcPr>
            <w:tcW w:w="272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7"/>
              </w:rPr>
              <w:t>Lower/(Higher)</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Energy-Related Commodity Contracts</w:t>
            </w:r>
          </w:p>
        </w:tc>
        <w:tc>
          <w:tcPr>
            <w:tcW w:w="272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Forward Market Price Gas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Increase/(Decrease)</w:t>
            </w:r>
          </w:p>
        </w:tc>
        <w:tc>
          <w:tcPr>
            <w:tcW w:w="27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7"/>
              </w:rPr>
              <w:t>Higher/(Lower)</w:t>
            </w:r>
          </w:p>
        </w:tc>
      </w:tr>
      <w:tr>
        <w:trPr>
          <w:trHeight w:val="17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Financial Instruments</w:t>
            </w:r>
          </w:p>
        </w:tc>
        <w:tc>
          <w:tcPr>
            <w:tcW w:w="272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7"/>
              </w:rPr>
              <w:t>Forecast Generation Levels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Increase/(Decrease)</w:t>
            </w:r>
          </w:p>
        </w:tc>
        <w:tc>
          <w:tcPr>
            <w:tcW w:w="272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7"/>
              </w:rPr>
              <w:t>Higher/(Lower)</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7" w:name="page128"/>
    <w:bookmarkEnd w:id="127"/>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2025, the non-performance reserve was a $16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Accounting for Derivative Instruments and Hedging Activities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energy-related commodity contracts and interest rate swaps.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that may arise in connection with its non-recourse debt or a potential refinancing of its Senior Notes. As of December 31, 2025, the Company had interest rate derivative instruments extending through 2033, a portion of which were designated as cash flow hedges. Under the interest rate swap agreements, the Company pays a fixed rate and the counterparties to the agreements pay a variable interest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Commodity Contracts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energy-related derivative instruments extending through 2033. At December 31, 2025, these contracts were not designated as cash flow or fair value hedges.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color w:val="auto"/>
        </w:rPr>
        <w:t>Volumetric Underlying Derivative Transactions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6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17"/>
        </w:trPr>
        <w:tc>
          <w:tcPr>
            <w:tcW w:w="20" w:type="dxa"/>
            <w:vAlign w:val="bottom"/>
          </w:tcPr>
          <w:p>
            <w:pPr>
              <w:spacing w:after="0"/>
              <w:rPr>
                <w:sz w:val="10"/>
                <w:szCs w:val="10"/>
                <w:color w:val="auto"/>
              </w:rPr>
            </w:pPr>
          </w:p>
        </w:tc>
        <w:tc>
          <w:tcPr>
            <w:tcW w:w="10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6500" w:type="dxa"/>
            <w:vAlign w:val="bottom"/>
            <w:gridSpan w:val="3"/>
          </w:tcPr>
          <w:p>
            <w:pPr>
              <w:ind w:left="340"/>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0" w:type="dxa"/>
            <w:vAlign w:val="bottom"/>
          </w:tcPr>
          <w:p>
            <w:pPr>
              <w:spacing w:after="0"/>
              <w:rPr>
                <w:sz w:val="10"/>
                <w:szCs w:val="10"/>
                <w:color w:val="auto"/>
              </w:rPr>
            </w:pPr>
          </w:p>
        </w:tc>
        <w:tc>
          <w:tcPr>
            <w:tcW w:w="88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6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w:t>
            </w:r>
          </w:p>
        </w:tc>
        <w:tc>
          <w:tcPr>
            <w:tcW w:w="6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MWh</w:t>
            </w:r>
          </w:p>
        </w:tc>
        <w:tc>
          <w:tcPr>
            <w:tcW w:w="14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Gas</w:t>
            </w:r>
          </w:p>
        </w:tc>
        <w:tc>
          <w:tcPr>
            <w:tcW w:w="65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MMBtu</w:t>
            </w:r>
          </w:p>
        </w:tc>
        <w:tc>
          <w:tcPr>
            <w:tcW w:w="140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5</w:t>
            </w:r>
          </w:p>
        </w:tc>
        <w:tc>
          <w:tcPr>
            <w:tcW w:w="4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6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Dollars</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4,080</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left="913"/>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180" w:type="dxa"/>
            <w:vAlign w:val="bottom"/>
          </w:tcPr>
          <w:p>
            <w:pPr>
              <w:spacing w:after="0"/>
              <w:rPr>
                <w:sz w:val="13"/>
                <w:szCs w:val="13"/>
                <w:color w:val="auto"/>
              </w:rPr>
            </w:pPr>
          </w:p>
        </w:tc>
        <w:tc>
          <w:tcPr>
            <w:tcW w:w="2500" w:type="dxa"/>
            <w:vAlign w:val="bottom"/>
            <w:gridSpan w:val="4"/>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r>
      <w:tr>
        <w:trPr>
          <w:trHeight w:val="150"/>
        </w:trPr>
        <w:tc>
          <w:tcPr>
            <w:tcW w:w="57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0"/>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5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5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current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0"/>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long-term</w:t>
            </w: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71"/>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96"/>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December 31, 2025 and 2024, the amount of outstanding collateral paid or received was immaterial.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140" w:type="dxa"/>
            <w:vAlign w:val="bottom"/>
            <w:tcBorders>
              <w:bottom w:val="single" w:sz="8" w:color="auto"/>
            </w:tcBorders>
            <w:gridSpan w:val="5"/>
          </w:tcPr>
          <w:p>
            <w:pPr>
              <w:ind w:left="1840"/>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5"/>
                <w:szCs w:val="15"/>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71"/>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6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5"/>
                <w:szCs w:val="15"/>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9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tcPr>
          <w:p>
            <w:pPr>
              <w:jc w:val="right"/>
              <w:ind w:right="1092"/>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4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140" w:type="dxa"/>
            <w:vAlign w:val="bottom"/>
            <w:tcBorders>
              <w:bottom w:val="single" w:sz="8" w:color="auto"/>
            </w:tcBorders>
            <w:gridSpan w:val="5"/>
          </w:tcPr>
          <w:p>
            <w:pPr>
              <w:ind w:left="1840"/>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5"/>
                <w:szCs w:val="15"/>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71"/>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6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OCI (OCL) balance attributable to interest rate swaps designated as cash flow hedge derivatives: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40" w:type="dxa"/>
            <w:vAlign w:val="bottom"/>
          </w:tcPr>
          <w:p>
            <w:pPr>
              <w:spacing w:after="0"/>
              <w:rPr>
                <w:sz w:val="13"/>
                <w:szCs w:val="13"/>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0"/>
        </w:trPr>
        <w:tc>
          <w:tcPr>
            <w:tcW w:w="7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beginning balance</w:t>
            </w:r>
          </w:p>
        </w:tc>
        <w:tc>
          <w:tcPr>
            <w:tcW w:w="76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0"/>
        </w:trPr>
        <w:tc>
          <w:tcPr>
            <w:tcW w:w="77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Rosamond South I Drop Down </w:t>
            </w:r>
            <w:r>
              <w:rPr>
                <w:rFonts w:ascii="Times New Roman" w:cs="Times New Roman" w:eastAsia="Times New Roman" w:hAnsi="Times New Roman"/>
                <w:sz w:val="18"/>
                <w:szCs w:val="18"/>
                <w:color w:val="auto"/>
                <w:vertAlign w:val="superscript"/>
              </w:rPr>
              <w:t>(a)</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Daggett 1 Drop Down</w:t>
            </w: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Luna Valley Drop Down</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Pine Forest Drop Down</w:t>
            </w: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Honeycomb Portfolio Drop Down</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Reclassified from accumulated OCI to income due to realization of previously deferred amounts</w:t>
            </w: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(OCL) OCI ending balance</w:t>
            </w:r>
          </w:p>
        </w:tc>
        <w:tc>
          <w:tcPr>
            <w:tcW w:w="76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OCI attributable to noncontrolling interests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tcBorders>
              <w:bottom w:val="single" w:sz="8" w:color="CCEEFF"/>
            </w:tcBorders>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(OCL) OCI attributable to Clearway Energy LLC</w:t>
            </w:r>
          </w:p>
        </w:tc>
        <w:tc>
          <w:tcPr>
            <w:tcW w:w="76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Losses expected to be realized from OCL during the next 12 months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740" w:type="dxa"/>
            <w:vAlign w:val="bottom"/>
            <w:vMerge w:val="continue"/>
          </w:tcPr>
          <w:p>
            <w:pPr>
              <w:spacing w:after="0"/>
              <w:rPr>
                <w:sz w:val="12"/>
                <w:szCs w:val="12"/>
                <w:color w:val="auto"/>
              </w:rPr>
            </w:pPr>
          </w:p>
        </w:tc>
        <w:tc>
          <w:tcPr>
            <w:tcW w:w="760" w:type="dxa"/>
            <w:vAlign w:val="bottom"/>
          </w:tcPr>
          <w:p>
            <w:pPr>
              <w:jc w:val="right"/>
              <w:ind w:right="612"/>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138811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Represents $2 million attributable to the Company and $2 million attributable to noncontrolling interests.</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Amounts reclassified from accumulated OCI/OCL into income are recorded to interest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Mark-to-market gains/(losses) related to the Company’s derivatives are recorded in the consolidated statements of operations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7740" w:type="dxa"/>
            <w:vAlign w:val="bottom"/>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77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included in Total operating revenues) </w:t>
            </w:r>
            <w:r>
              <w:rPr>
                <w:rFonts w:ascii="Times New Roman" w:cs="Times New Roman" w:eastAsia="Times New Roman" w:hAnsi="Times New Roman"/>
                <w:sz w:val="18"/>
                <w:szCs w:val="18"/>
                <w:color w:val="auto"/>
                <w:vertAlign w:val="superscript"/>
              </w:rPr>
              <w:t>(a)</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5"/>
                <w:szCs w:val="15"/>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242424"/>
              </w:rPr>
              <w:t>(32)</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7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included in Cost of operations) </w:t>
            </w:r>
            <w:r>
              <w:rPr>
                <w:rFonts w:ascii="Times New Roman" w:cs="Times New Roman" w:eastAsia="Times New Roman" w:hAnsi="Times New Roman"/>
                <w:sz w:val="18"/>
                <w:szCs w:val="18"/>
                <w:color w:val="auto"/>
                <w:vertAlign w:val="superscript"/>
              </w:rPr>
              <w:t>(b)</w:t>
            </w: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242424"/>
              </w:rPr>
              <w:t>(2)</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7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Relates to long-term energy-related commodity contracts at Elbow Creek, Mesquite Star, Mt. Storm, Langford and Mesquite Sky and heat rate call option energy-related commodity contracts at El Segundo, Marsh Landing and Walnut Creek.</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7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Relates to backbone transportation service energy-related commodity contracts at El Segundo and Walnut Creek.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30" w:name="page131"/>
    <w:bookmarkEnd w:id="130"/>
    <w:p>
      <w:pPr>
        <w:ind w:left="380"/>
        <w:spacing w:after="0"/>
        <w:rPr>
          <w:sz w:val="20"/>
          <w:szCs w:val="20"/>
          <w:color w:val="auto"/>
        </w:rPr>
      </w:pPr>
      <w:r>
        <w:rPr>
          <w:rFonts w:ascii="Times New Roman" w:cs="Times New Roman" w:eastAsia="Times New Roman" w:hAnsi="Times New Roman"/>
          <w:sz w:val="14"/>
          <w:szCs w:val="14"/>
          <w:color w:val="auto"/>
        </w:rPr>
        <w:t xml:space="preserve">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Intangible Assets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Intangible Assets </w:t>
      </w:r>
      <w:r>
        <w:rPr>
          <w:rFonts w:ascii="Times New Roman" w:cs="Times New Roman" w:eastAsia="Times New Roman" w:hAnsi="Times New Roman"/>
          <w:sz w:val="14"/>
          <w:szCs w:val="14"/>
          <w:color w:val="auto"/>
        </w:rPr>
        <w:t>— The Company’s intangible assets as of December 31, 2025 and 2024 primarily reflect intangible assets established from its business acquisitions and are comprised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w:t>
      </w:r>
    </w:p>
    <w:p>
      <w:pPr>
        <w:spacing w:after="0" w:line="78" w:lineRule="exact"/>
        <w:rPr>
          <w:sz w:val="20"/>
          <w:szCs w:val="20"/>
          <w:color w:val="auto"/>
        </w:rPr>
      </w:pPr>
    </w:p>
    <w:p>
      <w:pPr>
        <w:ind w:left="520" w:hanging="260"/>
        <w:spacing w:after="0" w:line="290" w:lineRule="auto"/>
        <w:tabs>
          <w:tab w:leader="none" w:pos="516" w:val="left"/>
        </w:tabs>
        <w:numPr>
          <w:ilvl w:val="0"/>
          <w:numId w:val="7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PPAs </w:t>
      </w:r>
      <w:r>
        <w:rPr>
          <w:rFonts w:ascii="Times New Roman" w:cs="Times New Roman" w:eastAsia="Times New Roman" w:hAnsi="Times New Roman"/>
          <w:sz w:val="14"/>
          <w:szCs w:val="14"/>
          <w:color w:val="auto"/>
        </w:rPr>
        <w:t>— Established predominantly with the acquisitions of the Alta Wind Portfolio, Tapestry, Laredo Ridge, Carlsbad Energy Center, Agua Caliente, the Utah Solar Portfolio, the Capistrano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Wind Portfolio, Tuolumne and Catalina. These represent the fair value of the PPAs acquired. These are amortized on a straight-line basis, over the term of the PPA.</w:t>
      </w:r>
    </w:p>
    <w:p>
      <w:pPr>
        <w:spacing w:after="0" w:line="35" w:lineRule="exact"/>
        <w:rPr>
          <w:rFonts w:ascii="Times New Roman" w:cs="Times New Roman" w:eastAsia="Times New Roman" w:hAnsi="Times New Roman"/>
          <w:sz w:val="14"/>
          <w:szCs w:val="14"/>
          <w:i w:val="1"/>
          <w:iCs w:val="1"/>
          <w:color w:val="auto"/>
        </w:rPr>
      </w:pPr>
    </w:p>
    <w:p>
      <w:pPr>
        <w:ind w:left="520" w:right="140" w:hanging="260"/>
        <w:spacing w:after="0" w:line="265" w:lineRule="auto"/>
        <w:tabs>
          <w:tab w:leader="none" w:pos="516" w:val="left"/>
        </w:tabs>
        <w:numPr>
          <w:ilvl w:val="0"/>
          <w:numId w:val="7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Leasehold Rights </w:t>
      </w:r>
      <w:r>
        <w:rPr>
          <w:rFonts w:ascii="Times New Roman" w:cs="Times New Roman" w:eastAsia="Times New Roman" w:hAnsi="Times New Roman"/>
          <w:sz w:val="14"/>
          <w:szCs w:val="14"/>
          <w:color w:val="auto"/>
        </w:rPr>
        <w:t>— Established with the acquisition of the Alta Wind Portfolio, this represents the fair value of contractual rights to receive royalty payments equal to a percentage of PPA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from certain facilities. These are amortized as a reduction to operating revenue on a straight-line basis over the term of the PPAs.</w:t>
      </w:r>
    </w:p>
    <w:p>
      <w:pPr>
        <w:jc w:val="both"/>
        <w:ind w:left="520" w:hanging="260"/>
        <w:spacing w:after="0" w:line="230" w:lineRule="auto"/>
        <w:tabs>
          <w:tab w:leader="none" w:pos="516" w:val="left"/>
        </w:tabs>
        <w:numPr>
          <w:ilvl w:val="0"/>
          <w:numId w:val="7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Emission Allowances </w:t>
      </w:r>
      <w:r>
        <w:rPr>
          <w:rFonts w:ascii="Times New Roman" w:cs="Times New Roman" w:eastAsia="Times New Roman" w:hAnsi="Times New Roman"/>
          <w:sz w:val="14"/>
          <w:szCs w:val="14"/>
          <w:color w:val="auto"/>
        </w:rPr>
        <w:t>— These intangibles primarily consist of SO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emission allowances established with the El Segundo, Walnut Creek and Carlsbad Energy Center acquisitions.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These emission allowances are held-for-use and are amortized to cost of operations, with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color w:val="auto"/>
        </w:rPr>
        <w:t xml:space="preserve"> allowances amortized on a straight-line basis and SO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4"/>
          <w:szCs w:val="14"/>
          <w:color w:val="auto"/>
        </w:rPr>
        <w:t xml:space="preserve"> allowances amortized based on units of production.</w:t>
      </w:r>
    </w:p>
    <w:p>
      <w:pPr>
        <w:spacing w:after="0" w:line="26" w:lineRule="exact"/>
        <w:rPr>
          <w:rFonts w:ascii="Times New Roman" w:cs="Times New Roman" w:eastAsia="Times New Roman" w:hAnsi="Times New Roman"/>
          <w:sz w:val="14"/>
          <w:szCs w:val="14"/>
          <w:i w:val="1"/>
          <w:iCs w:val="1"/>
          <w:color w:val="auto"/>
        </w:rPr>
      </w:pPr>
    </w:p>
    <w:p>
      <w:pPr>
        <w:jc w:val="both"/>
        <w:ind w:left="520" w:hanging="260"/>
        <w:spacing w:after="0" w:line="271" w:lineRule="auto"/>
        <w:tabs>
          <w:tab w:leader="none" w:pos="516" w:val="left"/>
        </w:tabs>
        <w:numPr>
          <w:ilvl w:val="0"/>
          <w:numId w:val="7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 Consists of a) the acquisition date fair value of the contractual rights to a ground lease for South Trent and to utilize certain interconnection facilities for Blythe as well as land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acquired in connection with the acquisition of Elbow Creek; b) development rights related to certain solar business acquisitions; c) purchased software for certain solar facilities; d) RECs acquired in connection with the acquisition of the Utah Solar Portfolio; and e) favorable land leases acquired in connection with the acquisition of the Utah Solar Portfolio.</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summarize the components of intangible assets subject to amortization: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300" w:type="dxa"/>
            <w:vAlign w:val="bottom"/>
          </w:tcPr>
          <w:p>
            <w:pPr>
              <w:spacing w:after="0"/>
              <w:rPr>
                <w:sz w:val="11"/>
                <w:szCs w:val="11"/>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6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0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Emission Allowances</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2025</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w w:val="91"/>
              </w:rPr>
              <w:t>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2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 xml:space="preserve">Acquisitions </w:t>
            </w:r>
            <w:r>
              <w:rPr>
                <w:rFonts w:ascii="Times New Roman" w:cs="Times New Roman" w:eastAsia="Times New Roman" w:hAnsi="Times New Roman"/>
                <w:sz w:val="16"/>
                <w:szCs w:val="16"/>
                <w:color w:val="auto"/>
                <w:vertAlign w:val="superscript"/>
              </w:rPr>
              <w:t>(a)</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left="7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left="7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31, 2025</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left="857"/>
              <w:spacing w:after="0"/>
              <w:rPr>
                <w:sz w:val="20"/>
                <w:szCs w:val="20"/>
                <w:color w:val="auto"/>
              </w:rPr>
            </w:pPr>
            <w:r>
              <w:rPr>
                <w:rFonts w:ascii="Times New Roman" w:cs="Times New Roman" w:eastAsia="Times New Roman" w:hAnsi="Times New Roman"/>
                <w:sz w:val="13"/>
                <w:szCs w:val="13"/>
                <w:color w:val="auto"/>
                <w:w w:val="91"/>
              </w:rPr>
              <w:t>86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center"/>
              <w:ind w:left="837"/>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w w:val="92"/>
              </w:rPr>
              <w:t>(6)</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center"/>
              <w:ind w:left="857"/>
              <w:spacing w:after="0"/>
              <w:rPr>
                <w:sz w:val="20"/>
                <w:szCs w:val="20"/>
                <w:color w:val="auto"/>
              </w:rPr>
            </w:pPr>
            <w:r>
              <w:rPr>
                <w:rFonts w:ascii="Times New Roman" w:cs="Times New Roman" w:eastAsia="Times New Roman" w:hAnsi="Times New Roman"/>
                <w:sz w:val="13"/>
                <w:szCs w:val="13"/>
                <w:color w:val="auto"/>
                <w:w w:val="91"/>
              </w:rPr>
              <w:t>40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7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weighted average life of acquired intangibles was 14 years for PPAs.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00" w:type="dxa"/>
            <w:vAlign w:val="bottom"/>
          </w:tcPr>
          <w:p>
            <w:pPr>
              <w:spacing w:after="0"/>
              <w:rPr>
                <w:sz w:val="11"/>
                <w:szCs w:val="11"/>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6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0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Emission Allowances</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2024</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center"/>
              <w:ind w:left="858"/>
              <w:spacing w:after="0"/>
              <w:rPr>
                <w:sz w:val="20"/>
                <w:szCs w:val="20"/>
                <w:color w:val="auto"/>
              </w:rPr>
            </w:pPr>
            <w:r>
              <w:rPr>
                <w:rFonts w:ascii="Times New Roman" w:cs="Times New Roman" w:eastAsia="Times New Roman" w:hAnsi="Times New Roman"/>
                <w:sz w:val="13"/>
                <w:szCs w:val="13"/>
                <w:color w:val="auto"/>
                <w:w w:val="91"/>
              </w:rPr>
              <w:t>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jc w:val="center"/>
              <w:ind w:left="758"/>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2024</w:t>
            </w: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center"/>
              <w:ind w:left="858"/>
              <w:spacing w:after="0"/>
              <w:rPr>
                <w:sz w:val="20"/>
                <w:szCs w:val="20"/>
                <w:color w:val="auto"/>
              </w:rPr>
            </w:pPr>
            <w:r>
              <w:rPr>
                <w:rFonts w:ascii="Times New Roman" w:cs="Times New Roman" w:eastAsia="Times New Roman" w:hAnsi="Times New Roman"/>
                <w:sz w:val="13"/>
                <w:szCs w:val="13"/>
                <w:color w:val="auto"/>
                <w:w w:val="91"/>
              </w:rPr>
              <w:t>86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4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left="838"/>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center"/>
              <w:ind w:left="858"/>
              <w:spacing w:after="0"/>
              <w:rPr>
                <w:sz w:val="20"/>
                <w:szCs w:val="20"/>
                <w:color w:val="auto"/>
              </w:rPr>
            </w:pPr>
            <w:r>
              <w:rPr>
                <w:rFonts w:ascii="Times New Roman" w:cs="Times New Roman" w:eastAsia="Times New Roman" w:hAnsi="Times New Roman"/>
                <w:sz w:val="13"/>
                <w:szCs w:val="13"/>
                <w:color w:val="auto"/>
                <w:w w:val="91"/>
              </w:rPr>
              <w:t>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recorded amortization expense of $189 million, $184 million and $186 million during the years ended December 31, 2025, 2024 and 2023, respectively. Of these amounts, $183 million, $178 million and $181 million during the years ended December 31, 2025, 2024 and 2023, respectively, were related to the amortization of intangible assets for PPAs and were recorded to contract amortization expense, which reduced operating revenues in the consolidated statements of operations. The Company estimates the amortization expense for its intangibles for each of the next five years will be $200 million.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color w:val="auto"/>
        </w:rPr>
        <w:t>Note 9 — Asset Impairments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Impairment Losses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During the fourth quarter of 2023,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facilities within the Renewables &amp; Storage segment no longer supported the recoverability of the carrying value of the related long-lived assets. As such, the Company recorded an impairment loss of $12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Long-term Debt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borrowings, including short-term and long-term portions, consisted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Interest rate % </w:t>
            </w:r>
            <w:r>
              <w:rPr>
                <w:rFonts w:ascii="Times New Roman" w:cs="Times New Roman" w:eastAsia="Times New Roman" w:hAnsi="Times New Roman"/>
                <w:sz w:val="14"/>
                <w:szCs w:val="14"/>
                <w:b w:val="1"/>
                <w:bCs w:val="1"/>
                <w:color w:val="auto"/>
                <w:vertAlign w:val="superscript"/>
              </w:rPr>
              <w:t>(a)</w:t>
            </w:r>
          </w:p>
        </w:tc>
        <w:tc>
          <w:tcPr>
            <w:tcW w:w="480" w:type="dxa"/>
            <w:vAlign w:val="bottom"/>
          </w:tcPr>
          <w:p>
            <w:pPr>
              <w:spacing w:after="0"/>
              <w:rPr>
                <w:sz w:val="14"/>
                <w:szCs w:val="14"/>
                <w:color w:val="auto"/>
              </w:rPr>
            </w:pPr>
          </w:p>
        </w:tc>
      </w:tr>
      <w:tr>
        <w:trPr>
          <w:trHeight w:val="145"/>
        </w:trPr>
        <w:tc>
          <w:tcPr>
            <w:tcW w:w="55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0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r>
      <w:tr>
        <w:trPr>
          <w:trHeight w:val="17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Intercompany Note with Clearway, Inc.</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3.61 %</w:t>
            </w:r>
          </w:p>
        </w:tc>
      </w:tr>
      <w:tr>
        <w:trPr>
          <w:trHeight w:val="168"/>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2028-2032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- 4.750%</w:t>
            </w:r>
          </w:p>
        </w:tc>
      </w:tr>
      <w:tr>
        <w:trPr>
          <w:trHeight w:val="172"/>
        </w:trPr>
        <w:tc>
          <w:tcPr>
            <w:tcW w:w="55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Clearway Energy LLC and Clearway Energy Operating LLC Revolving Credit Facility </w:t>
            </w:r>
            <w:r>
              <w:rPr>
                <w:rFonts w:ascii="Times New Roman" w:cs="Times New Roman" w:eastAsia="Times New Roman" w:hAnsi="Times New Roman"/>
                <w:sz w:val="16"/>
                <w:szCs w:val="16"/>
                <w:color w:val="auto"/>
                <w:vertAlign w:val="superscript"/>
              </w:rPr>
              <w:t>(b) (c)</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S+1.750%</w:t>
            </w:r>
          </w:p>
        </w:tc>
      </w:tr>
      <w:tr>
        <w:trPr>
          <w:trHeight w:val="169"/>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Non-recourse facility-level debt:</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rate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2031-2040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3,190</w:t>
            </w: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- 8.000%</w:t>
            </w:r>
          </w:p>
        </w:tc>
      </w:tr>
      <w:tr>
        <w:trPr>
          <w:trHeight w:val="168"/>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Variable rate</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9"/>
              </w:rPr>
              <w:t>2026-2033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4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S+1.375%</w:t>
            </w: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2"/>
              </w:rPr>
              <w:t>- 2.750%</w:t>
            </w:r>
          </w:p>
        </w:tc>
      </w:tr>
      <w:tr>
        <w:trPr>
          <w:trHeight w:val="163"/>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debt</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7,235</w:t>
            </w: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68"/>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70"/>
        </w:trPr>
        <w:tc>
          <w:tcPr>
            <w:tcW w:w="554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(d)</w:t>
            </w: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r>
      <w:tr>
        <w:trPr>
          <w:trHeight w:val="185"/>
        </w:trPr>
        <w:tc>
          <w:tcPr>
            <w:tcW w:w="5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long-term debt</w:t>
            </w: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4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80" w:hanging="111"/>
        <w:spacing w:after="0"/>
        <w:tabs>
          <w:tab w:leader="none" w:pos="180" w:val="left"/>
        </w:tabs>
        <w:numPr>
          <w:ilvl w:val="0"/>
          <w:numId w:val="7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As of December 31, 2025, S+ equals SOFR plus x%.</w:t>
      </w:r>
    </w:p>
    <w:p>
      <w:pPr>
        <w:spacing w:after="0" w:line="29"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7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Applicable rate is determined by the borrower leverage ratio, as defined in the credit agreement, and only applies to outstanding borrowings.</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tabs>
          <w:tab w:leader="none" w:pos="180" w:val="left"/>
        </w:tabs>
        <w:numPr>
          <w:ilvl w:val="0"/>
          <w:numId w:val="7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During January 2026, the Company repaid all of the outstanding borrowings under the revolving credit facility utilizing the proceeds from the sale of the 2034 Senior Notes, as further described below.</w:t>
      </w:r>
    </w:p>
    <w:p>
      <w:pPr>
        <w:spacing w:after="0" w:line="17"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7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Premiums relate to the 2028 Senior Notes.</w:t>
      </w:r>
    </w:p>
    <w:p>
      <w:pPr>
        <w:spacing w:after="0" w:line="11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each respective arrangement. Under the facility-level financing arrangements, each facility is permitted to pay distributions out of available cash as long as certain conditions are satisfied, including that no default under the applicable arrangements has occurred and that each facility is otherwise in compliance with all relevant conditions under the financing agreements, including meeting required financial ratios, where applicable. The Company’s facility-level financing arrangements are non-recourse to the Company, thus, each facility pledges its underlying assets as collateral, and if a facility is in default under its financing arrangement, then the related lender could demand repayment of the facility’s obligations or enforce its security interests with respect to the pledged collateral.</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$1,063 million in letters of credit outstanding, $96 million of which is related to the Company’s revolving credit facility. Also as of December 31, 2025, the Company was in compliance with all of the required covenants.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i w:val="1"/>
          <w:iCs w:val="1"/>
          <w:color w:val="231F20"/>
        </w:rPr>
        <w:t>2034 Senior Notes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On January 13, 2026, Clearway Energy Operating LLC completed the sale of $600 million aggregate principal amount of senior unsecured notes due 2034, or the 2034 Senior Notes. The 2034 Senior Notes bear interest at 5.750% and mature on January 15, 2034. Interest on the 2034 Senior Notes is payable semi-annually on January 15 and July 15 of each year, beginning on July 15, 2026. The 2034 Senior Notes are unsecured obligations of Clearway Energy Operating LLC and are guaranteed by Clearway Energy LLC and by certain of Clearway Energy Operating LLC’s wholly-owned current and future subsidiaries. The net proceeds from the 2034 Senior Notes were used to repay $361 million in outstanding borrowings under the revolving credit facility and for general corporate purposes.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Facility-level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Deriva Solar Portfolio</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February 5, 2026, in order to partially fund the third-party acquisition of the Deriva Solar Portfolio, which is expected to close in the first half of 2026, the Company, through its indirect subsidiary, Cardinal Investment Holdco LLC, entered into a financing agreement that provides for a term loan of up to $100 million and $119 million in letters of credit in support of debt service and facility obligations. The financing will be supported by the Company’s interest in the Deriva Solar Portfolio upon closing of the acquisition. Upon funding, the term loan will bear interest a rate of SOFR plus 2.00% per annum and will mature 364 days after the funding date.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Pine Forest</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June 10, 2025, as part of the acquisition of Pine Forest,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$103 million construction loan, a $102 million cash equity bridge loan, a $41 million tax equity bridge loan and a $275 million tax credit transfer bridge loan, offset by $6 million in unamortized debt issuance costs. A partial payment of $54 million was made on the cash equity bridge loan at acquisition date utilizing all of the proceeds from the Company, which were contributed back to the Company by CEG, and the third-party cash equity investor related to the Pine Forest TargetCo acquisition.</w:t>
      </w:r>
    </w:p>
    <w:p>
      <w:pPr>
        <w:spacing w:after="0" w:line="9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On December 17, 2025, when Pine Forest reached substantial completion, the Company paid $50 million to Clearway Renew as an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third-party cash equity investor contributed $144 million, Clearway, Inc., through its indirect subsidiary, Pine Forest TE Class A, contributed an additional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$38 million for its Class A membership interests in Pine Forest TE HoldCo LLC and CEG contributed $49 million, which were utilized, along with the $9 million previously held in escrow, to repay the $100 million cash equity bridge loan, to repay the $41 million tax equity bridge loan, to partially repay $44 million of the tax credit transfer bridge loan, to fund $39 million in construction completion reserves, which is included in restricted cash on the Company’s consolidated balance sheet, and to pay $15 million in associated fees. Additionally, on December 17, 2025, the outstanding construction loans were converted to a term loan in the amount of $103 million that matures on December 17, 2030. Subsequent to the acquisition during 2025, the Company borrowed an additional $52 million in cash equity bridge loans.</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January 2026, the Company repaid the $231 million outstanding on the tax credit transfer bridge loan utilizing the proceeds received from the sale of transferable ITCs, and distributed the remaining $51 million to CEG.</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Honeycomb Portfolio</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On October 15, 2025, as part of the acquisition of the Honeycomb Portfolio,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$218 million construction loan that converts to a term loan at substantial completion, which is expected to occur in the first half of 2026, and a $234 million tax equity bridge loan, offset by $9 million in unamortized debt issuance costs. The tax equity bridge loan will be repaid at substantial completion with the final proceeds received from the tax equity investor, as well as the Company’s additional purchase price, along with the $59 million that was contributed into escrow by the tax equity investor at acquisition date, which is included in restricted cash on the Company’s consolidated balance sheet. Subsequent to the acquisition during 2025, the Company borrowed an additional $38 million in construction loans through December 31, 2025.</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Daggett 1</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April 29, 2025, as part of the acquisition of Daggett 1,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$92 million construction loan and a $131 million tax equity bridge loan, offset by $3 million in unamortized debt issuance costs.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3" w:name="page134"/>
    <w:bookmarkEnd w:id="133"/>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September 19, 2025, when Daggett 1 reached substantial completion, the Company paid $42 million to Clearway Renew as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and the tax equity investor contributed an additional $108 million, which was utilized, along with the $38 million previously held in escrow and $31 million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construction loan proceeds, to repay the $131 million tax equity bridge loan, to fund $6 million in construction completion reserves, which is included in restricted cash on the Company’s consolidated balance sheet, and to pay $7 million in associated fees with the remaining $33 million distributed to CEG. Additionally, on September 19, 2025, the outstanding construction loans were converted to a term loan in the amount of $132 million that matures on September 19, 2030. Subsequent to the acquisition during 2025, the Company borrowed an additional $40 million in construction loans.</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Luna Valley</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On April 29, 2025, as part of the acquisition of Luna Valley,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$144 million construction loan, a $64 million cash equity bridge loan and a $144 million tax equity bridge loan, offset by $4 million in unamortized debt issuance costs. A partial payment of $18 million was made on the cash equity bridge loan at acquisition date utilizing all of the proceeds from the Company, which were contributed back to the Company by CEG.</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On September 4, 2025, when Luna Valley facility reached substantial completion, the Company paid $72 million to Clearway Renew as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tax equity investor contributed an additional $114 million and CEG contributed $50 million, which were utilized, along with the $29 million previously held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escrow and $28 million in construction loan proceeds, to repay the $46 million cash equity bridge loan, to repay the $144 million tax equity bridge loan, to fund $22 million in construction completion reserves, which is included in restricted cash on the Company’s consolidated balance sheet, and to pay $9 million in associated fees. Additionally, on September 4, 2025, the outstanding construction loans were converted to a term loan in the amount of $195 million that matures on September 4, 2030. Subsequent to the acquisition during 2025, the Company borrowed an additional $51 million in construction loans.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South I</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March 20, 2025, as part of the acquisition of Rosamond South I,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$179 million construction loan, a $6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w:t>
      </w:r>
    </w:p>
    <w:p>
      <w:pPr>
        <w:spacing w:after="0" w:line="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On August 13, 2025, when Rosamond South I reached substantial completion, the Company paid $29 million to Clearway Renew as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third-party cash equity investor contributed an additional $41 million and the tax equity investor contributed an additional $226 million, which were utilized, along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$58 million previously held in escrow and $13 million in construction loan proceeds, to repay the $276 million tax equity bridge loan and to pay $9 million in associated fees with the remaining $53 million distributed to CEG. Additionally, on August 13, 2025, the outstanding construction loans were converted to a term loan in the amount of $228 million that matures on August 13, 2030. Subsequent to the acquisition during 2025, the Company borrowed an additional $49 million in construction loans and also received $46 million in contributions from CEG to pay for construction completion expenses.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Dan’s Mountain</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On November 18, 2024, as part of the acquisition of Dan’s Mountain,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the Company assumed the facility’s financing agreement, which included a $77 million cash equity bridge loan and a $49 million tax equity bridge loan, offset by $1 million in unamortized debt issuance costs. A partial payment of $7 million was made on the cash equity bridge loan at acquisition date utilizing all of the proceeds from the Company, which were contributed back to the Company by CEG.</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4" w:name="page135"/>
    <w:bookmarkEnd w:id="134"/>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On May 21, 2025, when the Dan’s Mountain facility reached substantial completion, the Company paid $36 million to Clearway Renew as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third-party cash equity and tax equity investors, along with the Company’s entire additional purchase price, which was contributed back to the Company by CEG, and the $18 million previously held in escrow, to repay the $91 million tax equity bridge loan, to repay the $70 million cash equity bridge loan and to pay $2 million in associated fees with the remaining $26 million distributed to CEG. Subsequent to the acquisition, the Company borrowed an additional $24 million in tax equity bridge loans during 2024 and $18 million in tax equity bridge loans during 2025. The Company also received $16 million in contributions from CEG to pay for construction completion expenses during 2025.</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Tuolumne</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On April 29, 2025, in order to partially fund the third-party acquisition of the Tuolumne wind facility,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entered into a financing agreement, which included the issuance of a $163 million term loan, as well as $22 million in letters of credit in support of debt service and facility obligations, supported by the Company’s interests in the Tuolumne wind facility. The term loan bears interest at a rate of SOFR plus 1.625% per annum and matures on April 29, 2030.</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Buckthorn Solar</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April 9, 2025, the Company, through its indirect subsidiary, Buckthorn Solar Portfolio LLC, refinanced its existing credit agreement, which was scheduled to mature in May 2025, resulting in the issuance of a $104 million term loan facility, as well as $22 million in letters of credit in support of debt service and facility obligations, supported by the Company’s interests in the Buckthorn Solar facility. The term loan bears interest at a rate of SOFR plus 1.625% per annum and matures on April 9, 2031. The Company utilized the proceeds from the term loan and existing sources of liquidity to pay off the existing debt in the amount of $112 million.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Cedro Hill Repowering</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December 12, 2023, the Company entered into a financing agreement for non-recourse debt for a total commitment of $254 million, which consists of construction loans, a tax equity bridge loan and a cash equity bridge loan, related to the repowering of the Cedro Hill wind facility. The Company’s initial borrowing of $165 million was utilized to repay the $72 million of outstanding principal under the original financing agreement, to pay $55 million to Clearway Renew for the future delivery of equipment, which was included in other non-current assets on the Company’s consolidated balance sheet, to pay $27 million to a third party for the future delivery of equipment, which was included in other non-current assets on the Company’s consolidated balance sheet, to pay a $4 million development services fee to Clearway Renew, to pay for $4 million in debt issuance costs that were deferred and to pay for $3 million in capital expenditures. During 2024, the $82 million of equipment was delivered, and therefore, was included in property, plant and equipment, net on the Company’s consolidated balance sheet as of December 31, 2024.</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December 27, 2024, when the repowering of the Cedro Hill wind facility reached substantial completion, tax equity investors contributed $152 million to acquire the Class A membership interests in Cedro Hill TE Holdco LLC, a tax equity fund that owns the Cedro Hill wind facility. The tax equity proceeds were utilized, along with $54 million in construction loan proceeds, to repay the $138 million tax equity bridge loan, the $16 million cash equity bridge loan, to fund $38 million in construction completion and related reserves, which was included in restricted cash on the Company’s consolidated balance sheet, to pay $11 million in construction invoices and to pay $4 million in associated fees with the remaining $26 million distributed to CEG. Also at substantial completion, the outstanding construction loans were converted to a term loan in the amount of $99 million. Under the new financing agreement, the Company borrowed $88 million during 2024.</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Capistrano Portfolio Holdco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supported by the Company’s interests in the Broken Bow, Crofton Bluffs, Mountain Wind 1 and Mountain Wind 2 wind facilities. The Company utilized the proceeds from the term loan to pay off the existing debt in the amount of $63 million related to Broken Bow and Crofton Bluffs and to pay related financing costs.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5" w:name="page136"/>
    <w:bookmarkEnd w:id="135"/>
    <w:p>
      <w:pPr>
        <w:ind w:left="320"/>
        <w:spacing w:after="0"/>
        <w:rPr>
          <w:sz w:val="20"/>
          <w:szCs w:val="20"/>
          <w:color w:val="auto"/>
        </w:rPr>
      </w:pPr>
      <w:r>
        <w:rPr>
          <w:rFonts w:ascii="Times New Roman" w:cs="Times New Roman" w:eastAsia="Times New Roman" w:hAnsi="Times New Roman"/>
          <w:sz w:val="14"/>
          <w:szCs w:val="14"/>
          <w:i w:val="1"/>
          <w:iCs w:val="1"/>
          <w:color w:val="auto"/>
        </w:rPr>
        <w:t>Natural Gas Holdco LC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The letter of credit facility has an initial term of three years and the option for two additional one-year extensions.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Central (Rosie Class B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June 30, 2023, Rosie Class B LLC, the indirect owner of the Rosamond Central solar facility, amended its financing agreement to provide for (i) a refinanced term loan in the amount of $77 million, (ii) construction loans up to $115 million, (iii) tax equity bridge loans up to $188 million, (iv) an increase to the letter of credit sublimit to $41 million and (v) an extension of the maturity date of the term loan and construction loans to June 13, 2029.</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On July 3, 2023, Rosie Class B LLC issued a loan to Clearway Renew, utilizing a portion of the loan proceeds under the amended financing agreement, in order to finance the construction of the BESS facility. On December 1, 2023, the Rosamond Central solar facility acquired the BESS facility from Clearway Renew for initial cash consideration of $70 million,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and Clearway Renew utilized the funds to partially repay the loan.</w:t>
      </w:r>
    </w:p>
    <w:p>
      <w:pPr>
        <w:spacing w:after="0" w:line="9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Clearway Renew repaid the $184 million outstanding loan balance owed to Rosie Class B LLC utilizing the additional purchase price of $279 million paid by the Company,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utilized the proceeds from Clearway Renew, along with $39 million held previously in escrow and $56 million of the Company’s additional purchase price that was contributed back to the Company by CEG, to repay the $186 million tax equity bridge loan, to distribute $44 million to the third-party cash equity investor, to fund $21 million in construction completion reserves, which was included in restricted cash on the Company’s consolidated balance sheet, and to pay $11 million in associated fees. Additionally, on June 13, 2024, the outstanding construction loans were converted to a term loan in the amount of $115 million. Under the amended financing agreement, the Company borrowed $271 million during 2023 and $30 million during 2024.</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NIMH Solar</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On June 11, 2024, the Company, through its indirect subsidiary, NIMH Solar LLC, </w:t>
      </w:r>
      <w:r>
        <w:rPr>
          <w:rFonts w:ascii="Times New Roman" w:cs="Times New Roman" w:eastAsia="Times New Roman" w:hAnsi="Times New Roman"/>
          <w:sz w:val="14"/>
          <w:szCs w:val="14"/>
          <w:color w:val="212529"/>
        </w:rPr>
        <w:t>refinanced its amended and restated credit agreement, which was scheduled to mature in September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 xml:space="preserve">resulting in the issuance of a $137 million term loan facility, as well as $17 million in letters of credit in support of debt service and facility obligations. </w:t>
      </w:r>
      <w:r>
        <w:rPr>
          <w:rFonts w:ascii="Times New Roman" w:cs="Times New Roman" w:eastAsia="Times New Roman" w:hAnsi="Times New Roman"/>
          <w:sz w:val="14"/>
          <w:szCs w:val="14"/>
          <w:color w:val="000000"/>
        </w:rPr>
        <w:t>The obligations under the new financing</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arrangement are supported by the Company’s interests in the Alpine, Blythe and Roadrunner solar facilities. The Company utilized the proceeds from the term loan and existing sources of liquidity to pay off the existing debt in the amount of $146 million.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Victory Pass and Arica</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October 31, 2023, as part of the acquisition of Victory Pass and Arica,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the Company assumed the facility’s financing agreement, which included a $483 million cash equity bridge loan and a $385 million tax equity bridge loan, offset by $4 million in unamortized debt issuance costs. A partial payment of $133 million was made on the cash equity bridge loan at acquisition date utilizing all of the proceeds from the Company, which were contributed back to the Company by CEG, and the contribution from the third-party cash equity investor.</w:t>
      </w:r>
    </w:p>
    <w:p>
      <w:pPr>
        <w:spacing w:after="0" w:line="9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On May 1, 2024, when the facilities reached substantial completion, the Company paid $165 million to Clearway Renew as additional purchase price,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third-party cash equity investor contributed an additional $347 million, the tax equity investor contributed an additional $410 million and CEG contributed $52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which were utilized, along with $103 million held previously in escrow, to repay the $351 million cash equity bridge loan, to repay the $468 million tax equity bridge loan, to fund $75 million in construction completion reserves, which was included in restricted cash on the Company’s consolidated balance sheet, and to pay $18 million in associated fees. Subsequent to the acquisition, the Company borrowed an additional $22 million during 2023 and $62 million during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6" w:name="page137"/>
    <w:bookmarkEnd w:id="136"/>
    <w:p>
      <w:pPr>
        <w:ind w:left="320"/>
        <w:spacing w:after="0"/>
        <w:rPr>
          <w:sz w:val="20"/>
          <w:szCs w:val="20"/>
          <w:color w:val="auto"/>
        </w:rPr>
      </w:pPr>
      <w:r>
        <w:rPr>
          <w:rFonts w:ascii="Times New Roman" w:cs="Times New Roman" w:eastAsia="Times New Roman" w:hAnsi="Times New Roman"/>
          <w:sz w:val="14"/>
          <w:szCs w:val="14"/>
          <w:i w:val="1"/>
          <w:iCs w:val="1"/>
          <w:color w:val="auto"/>
        </w:rPr>
        <w:t>Cedar Creek</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April 16, 2024, as part of the acquisition of Cedar Creek,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 $112 million construction loan, a $91 million cash equity bridge loan and a $109 million tax equity bridge loan, offset by $3 million in unamortized debt issuance costs. At acquisition date, the tax equity investor contributed $108 million, which was utilized, along with the Company’s entire purchase price that was contributed back to the Company by CEG, to repay the tax equity bridge loan, to repay the cash equity bridge loan, to partially repay $2 million in construction loans, to fund $16 million in construction completion reserves, which was included in restricted cash on the Company’s consolidated balance sheet, and to pay $6 million in associated fees. Also at acquisition date, the outstanding construction loans were converted to a term loan in the amount of $110 million.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Texas Solar Nova 1 and Texas Solar Nova 2</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December 28, 2023, as part of the acquisition of Texas Solar Nova 1, the Company assumed the facility’s financing agreement, which included a $90 million construction loan, $109 million cash equity bridge loan and $151 million tax equity bridge loan, offset by $1 million in unamortized debt issuance costs. At acquisition date, the tax equity investor contributed $148 million, which was utilized, along with the Company’s entire purchase price that was contributed back to the Company by CEG and the proceeds from the third-party cash equity investor, to repay the $109 million cash equity bridge loan, to repay the $151 million tax equity bridge loan, to fund $18 million in construction completion reserves, which was included in restricted cash on the Company’s consolidated balance sheet, and to pay $5 million in associated fees with the remaining $9 million distributed back to CEG. Also at acquisition date, the $90 million construction loan was converted into a term loan in the amount of $102 million, which includes an additional borrowing of $12 million.</w:t>
      </w:r>
    </w:p>
    <w:p>
      <w:pPr>
        <w:spacing w:after="0" w:line="10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March 15, 2024, as part of the acquisition of Texas Solar Nova 2,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to the Company by CEG, to repay the $115 million tax equity bridge loan, to fund $19 million in construction completion reserves, which was included in restricted cash on the Company’s consolidated balance sheet, and to pay $4 million in associated fees.</w:t>
      </w:r>
    </w:p>
    <w:p>
      <w:pPr>
        <w:spacing w:after="0" w:line="9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Additionally, on March 15, 2024, Texas Solar Nova 1’s financing agreement was amended to merge the Texas Solar Nova 1 and Texas Solar Nova 2 term loans as a combined term loan under TSN1 Class B Member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that may arise in connection with its non-recourse facility level debt or any potential refinancing of its Senior Notes. The facility level debt swaps amortize in proportion to their respective loans and are floating for a fixed rate where the subsidiary pays its counterparty the equivalent of a fixed interest payment on a predetermined notional amount and will receive quarterly the equivalent of a floating interest payment based on the same notional amount. All interest rate swap payments by the subsidiary and its counterparty are made quarterly and the SOFR is determined in advance of each interest period.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7" w:name="page138"/>
    <w:bookmarkEnd w:id="137"/>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swaps, some of which are forward starting as indicated, related to the Company’s facility level debt and the potential refinancing of its Senior Notes: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Fixed Interest</w:t>
            </w: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Floating Interest</w:t>
            </w:r>
          </w:p>
        </w:tc>
        <w:tc>
          <w:tcPr>
            <w:tcW w:w="160" w:type="dxa"/>
            <w:vAlign w:val="bottom"/>
          </w:tcPr>
          <w:p>
            <w:pPr>
              <w:spacing w:after="0"/>
              <w:rPr>
                <w:sz w:val="12"/>
                <w:szCs w:val="12"/>
                <w:color w:val="auto"/>
              </w:rPr>
            </w:pPr>
          </w:p>
        </w:tc>
        <w:tc>
          <w:tcPr>
            <w:tcW w:w="152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Notional Amount at</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 of Principal</w:t>
            </w:r>
          </w:p>
        </w:tc>
        <w:tc>
          <w:tcPr>
            <w:tcW w:w="98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 2025 (In</w:t>
            </w:r>
          </w:p>
        </w:tc>
        <w:tc>
          <w:tcPr>
            <w:tcW w:w="100" w:type="dxa"/>
            <w:vAlign w:val="bottom"/>
          </w:tcPr>
          <w:p>
            <w:pPr>
              <w:spacing w:after="0"/>
              <w:rPr>
                <w:sz w:val="11"/>
                <w:szCs w:val="11"/>
                <w:color w:val="auto"/>
              </w:rPr>
            </w:pPr>
          </w:p>
        </w:tc>
        <w:tc>
          <w:tcPr>
            <w:tcW w:w="18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17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Pr>
          <w:p>
            <w:pPr>
              <w:spacing w:after="0"/>
              <w:rPr>
                <w:sz w:val="14"/>
                <w:szCs w:val="14"/>
                <w:color w:val="auto"/>
              </w:rPr>
            </w:pPr>
          </w:p>
        </w:tc>
        <w:tc>
          <w:tcPr>
            <w:tcW w:w="152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10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Avra Valley</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2.20 %</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March 31, 2023</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January 31, 2031</w:t>
            </w:r>
          </w:p>
        </w:tc>
        <w:tc>
          <w:tcPr>
            <w:tcW w:w="0" w:type="dxa"/>
            <w:vAlign w:val="bottom"/>
          </w:tcPr>
          <w:p>
            <w:pPr>
              <w:spacing w:after="0"/>
              <w:rPr>
                <w:sz w:val="1"/>
                <w:szCs w:val="1"/>
                <w:color w:val="auto"/>
              </w:rPr>
            </w:pP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Alta Wind Asset Management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2.22 %</w:t>
            </w:r>
          </w:p>
        </w:tc>
        <w:tc>
          <w:tcPr>
            <w:tcW w:w="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May 22, 2013</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May 15, 2031</w:t>
            </w:r>
          </w:p>
        </w:tc>
        <w:tc>
          <w:tcPr>
            <w:tcW w:w="0" w:type="dxa"/>
            <w:vAlign w:val="bottom"/>
          </w:tcPr>
          <w:p>
            <w:pPr>
              <w:spacing w:after="0"/>
              <w:rPr>
                <w:sz w:val="1"/>
                <w:szCs w:val="1"/>
                <w:color w:val="auto"/>
              </w:rPr>
            </w:pP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Buckthorn Solar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2.63 %</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April 9, 2025</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July 31, 2043</w:t>
            </w:r>
          </w:p>
        </w:tc>
        <w:tc>
          <w:tcPr>
            <w:tcW w:w="0" w:type="dxa"/>
            <w:vAlign w:val="bottom"/>
          </w:tcPr>
          <w:p>
            <w:pPr>
              <w:spacing w:after="0"/>
              <w:rPr>
                <w:sz w:val="1"/>
                <w:szCs w:val="1"/>
                <w:color w:val="auto"/>
              </w:rPr>
            </w:pP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Capistrano Portfolio Holdco</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October 24, 2024</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September 30, 2033</w:t>
            </w:r>
          </w:p>
        </w:tc>
        <w:tc>
          <w:tcPr>
            <w:tcW w:w="0" w:type="dxa"/>
            <w:vAlign w:val="bottom"/>
          </w:tcPr>
          <w:p>
            <w:pPr>
              <w:spacing w:after="0"/>
              <w:rPr>
                <w:sz w:val="1"/>
                <w:szCs w:val="1"/>
                <w:color w:val="auto"/>
              </w:rPr>
            </w:pP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September 30, 2027</w:t>
            </w:r>
          </w:p>
        </w:tc>
        <w:tc>
          <w:tcPr>
            <w:tcW w:w="0" w:type="dxa"/>
            <w:vAlign w:val="bottom"/>
          </w:tcPr>
          <w:p>
            <w:pPr>
              <w:spacing w:after="0"/>
              <w:rPr>
                <w:sz w:val="1"/>
                <w:szCs w:val="1"/>
                <w:color w:val="auto"/>
              </w:rPr>
            </w:pP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Cedar Creek</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3.02 %</w:t>
            </w:r>
          </w:p>
        </w:tc>
        <w:tc>
          <w:tcPr>
            <w:tcW w:w="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April 30, 2024</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March 31, 2049</w:t>
            </w:r>
          </w:p>
        </w:tc>
        <w:tc>
          <w:tcPr>
            <w:tcW w:w="0" w:type="dxa"/>
            <w:vAlign w:val="bottom"/>
          </w:tcPr>
          <w:p>
            <w:pPr>
              <w:spacing w:after="0"/>
              <w:rPr>
                <w:sz w:val="1"/>
                <w:szCs w:val="1"/>
                <w:color w:val="auto"/>
              </w:rPr>
            </w:pP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Cedro Hill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September 30, 2044</w:t>
            </w:r>
          </w:p>
        </w:tc>
        <w:tc>
          <w:tcPr>
            <w:tcW w:w="0" w:type="dxa"/>
            <w:vAlign w:val="bottom"/>
          </w:tcPr>
          <w:p>
            <w:pPr>
              <w:spacing w:after="0"/>
              <w:rPr>
                <w:sz w:val="1"/>
                <w:szCs w:val="1"/>
                <w:color w:val="auto"/>
              </w:rPr>
            </w:pPr>
          </w:p>
        </w:tc>
      </w:tr>
      <w:tr>
        <w:trPr>
          <w:trHeight w:val="170"/>
        </w:trPr>
        <w:tc>
          <w:tcPr>
            <w:tcW w:w="264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Clearway Energy Operating </w:t>
            </w:r>
            <w:r>
              <w:rPr>
                <w:rFonts w:ascii="Times New Roman" w:cs="Times New Roman" w:eastAsia="Times New Roman" w:hAnsi="Times New Roman"/>
                <w:sz w:val="16"/>
                <w:szCs w:val="16"/>
                <w:color w:val="auto"/>
                <w:vertAlign w:val="superscript"/>
              </w:rPr>
              <w:t>(a)</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7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Daggett 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March 29, 2024</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March 31, 2043</w:t>
            </w:r>
          </w:p>
        </w:tc>
        <w:tc>
          <w:tcPr>
            <w:tcW w:w="0" w:type="dxa"/>
            <w:vAlign w:val="bottom"/>
          </w:tcPr>
          <w:p>
            <w:pPr>
              <w:spacing w:after="0"/>
              <w:rPr>
                <w:sz w:val="1"/>
                <w:szCs w:val="1"/>
                <w:color w:val="auto"/>
              </w:rPr>
            </w:pP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September 30, 2024</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September 30, 2043</w:t>
            </w:r>
          </w:p>
        </w:tc>
        <w:tc>
          <w:tcPr>
            <w:tcW w:w="0" w:type="dxa"/>
            <w:vAlign w:val="bottom"/>
          </w:tcPr>
          <w:p>
            <w:pPr>
              <w:spacing w:after="0"/>
              <w:rPr>
                <w:sz w:val="1"/>
                <w:szCs w:val="1"/>
                <w:color w:val="auto"/>
              </w:rPr>
            </w:pPr>
          </w:p>
        </w:tc>
      </w:tr>
      <w:tr>
        <w:trPr>
          <w:trHeight w:val="170"/>
        </w:trPr>
        <w:tc>
          <w:tcPr>
            <w:tcW w:w="264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Honeycomb Portfolio </w:t>
            </w:r>
            <w:r>
              <w:rPr>
                <w:rFonts w:ascii="Times New Roman" w:cs="Times New Roman" w:eastAsia="Times New Roman" w:hAnsi="Times New Roman"/>
                <w:sz w:val="16"/>
                <w:szCs w:val="16"/>
                <w:color w:val="auto"/>
                <w:vertAlign w:val="superscript"/>
              </w:rPr>
              <w:t>(a)</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7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Kansas South</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1.93 %</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June 28, 2013</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December 31, 2030</w:t>
            </w:r>
          </w:p>
        </w:tc>
        <w:tc>
          <w:tcPr>
            <w:tcW w:w="0" w:type="dxa"/>
            <w:vAlign w:val="bottom"/>
          </w:tcPr>
          <w:p>
            <w:pPr>
              <w:spacing w:after="0"/>
              <w:rPr>
                <w:sz w:val="1"/>
                <w:szCs w:val="1"/>
                <w:color w:val="auto"/>
              </w:rPr>
            </w:pP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Luna Valley</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Mililani Class B</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NIMH Solar</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3.25 %</w:t>
            </w:r>
          </w:p>
        </w:tc>
        <w:tc>
          <w:tcPr>
            <w:tcW w:w="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June 11, 2024</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January 31, 2033</w:t>
            </w:r>
          </w:p>
        </w:tc>
        <w:tc>
          <w:tcPr>
            <w:tcW w:w="0" w:type="dxa"/>
            <w:vAlign w:val="bottom"/>
          </w:tcPr>
          <w:p>
            <w:pPr>
              <w:spacing w:after="0"/>
              <w:rPr>
                <w:sz w:val="1"/>
                <w:szCs w:val="1"/>
                <w:color w:val="auto"/>
              </w:rPr>
            </w:pP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Oahu Solar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November 30, 2019</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October 31, 2040</w:t>
            </w:r>
          </w:p>
        </w:tc>
        <w:tc>
          <w:tcPr>
            <w:tcW w:w="0" w:type="dxa"/>
            <w:vAlign w:val="bottom"/>
          </w:tcPr>
          <w:p>
            <w:pPr>
              <w:spacing w:after="0"/>
              <w:rPr>
                <w:sz w:val="1"/>
                <w:szCs w:val="1"/>
                <w:color w:val="auto"/>
              </w:rPr>
            </w:pP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Pine Forest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November 28, 2025</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March 31, 2050</w:t>
            </w:r>
          </w:p>
        </w:tc>
        <w:tc>
          <w:tcPr>
            <w:tcW w:w="0" w:type="dxa"/>
            <w:vAlign w:val="bottom"/>
          </w:tcPr>
          <w:p>
            <w:pPr>
              <w:spacing w:after="0"/>
              <w:rPr>
                <w:sz w:val="1"/>
                <w:szCs w:val="1"/>
                <w:color w:val="auto"/>
              </w:rPr>
            </w:pP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Rosie Class B</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Rosie South</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South Trent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June 30, 2028</w:t>
            </w:r>
          </w:p>
        </w:tc>
        <w:tc>
          <w:tcPr>
            <w:tcW w:w="0" w:type="dxa"/>
            <w:vAlign w:val="bottom"/>
          </w:tcPr>
          <w:p>
            <w:pPr>
              <w:spacing w:after="0"/>
              <w:rPr>
                <w:sz w:val="1"/>
                <w:szCs w:val="1"/>
                <w:color w:val="auto"/>
              </w:rPr>
            </w:pPr>
          </w:p>
        </w:tc>
      </w:tr>
      <w:tr>
        <w:trPr>
          <w:trHeight w:val="16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TSN1 Class B</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March 29, 2024</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September 30, 2043</w:t>
            </w:r>
          </w:p>
        </w:tc>
        <w:tc>
          <w:tcPr>
            <w:tcW w:w="0" w:type="dxa"/>
            <w:vAlign w:val="bottom"/>
          </w:tcPr>
          <w:p>
            <w:pPr>
              <w:spacing w:after="0"/>
              <w:rPr>
                <w:sz w:val="1"/>
                <w:szCs w:val="1"/>
                <w:color w:val="auto"/>
              </w:rPr>
            </w:pPr>
          </w:p>
        </w:tc>
      </w:tr>
      <w:tr>
        <w:trPr>
          <w:trHeight w:val="17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Viento Funding II</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2.53 %</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December 31, 2032</w:t>
            </w:r>
          </w:p>
        </w:tc>
        <w:tc>
          <w:tcPr>
            <w:tcW w:w="0" w:type="dxa"/>
            <w:vAlign w:val="bottom"/>
          </w:tcPr>
          <w:p>
            <w:pPr>
              <w:spacing w:after="0"/>
              <w:rPr>
                <w:sz w:val="1"/>
                <w:szCs w:val="1"/>
                <w:color w:val="auto"/>
              </w:rPr>
            </w:pPr>
          </w:p>
        </w:tc>
      </w:tr>
      <w:tr>
        <w:trPr>
          <w:trHeight w:val="168"/>
        </w:trPr>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Tuolumne</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April 29, 2025</w:t>
            </w:r>
          </w:p>
        </w:tc>
        <w:tc>
          <w:tcPr>
            <w:tcW w:w="17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March 31, 2040</w:t>
            </w:r>
          </w:p>
        </w:tc>
        <w:tc>
          <w:tcPr>
            <w:tcW w:w="0" w:type="dxa"/>
            <w:vAlign w:val="bottom"/>
          </w:tcPr>
          <w:p>
            <w:pPr>
              <w:spacing w:after="0"/>
              <w:rPr>
                <w:sz w:val="1"/>
                <w:szCs w:val="1"/>
                <w:color w:val="auto"/>
              </w:rPr>
            </w:pPr>
          </w:p>
        </w:tc>
      </w:tr>
      <w:tr>
        <w:trPr>
          <w:trHeight w:val="188"/>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Borders>
              <w:bottom w:val="single" w:sz="8" w:color="auto"/>
            </w:tcBorders>
          </w:tcPr>
          <w:p>
            <w:pPr>
              <w:spacing w:after="0"/>
              <w:rPr>
                <w:sz w:val="8"/>
                <w:szCs w:val="8"/>
                <w:color w:val="auto"/>
              </w:rPr>
            </w:pPr>
          </w:p>
        </w:tc>
        <w:tc>
          <w:tcPr>
            <w:tcW w:w="5460" w:type="dxa"/>
            <w:vAlign w:val="bottom"/>
            <w:gridSpan w:val="9"/>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7660" w:type="dxa"/>
            <w:vAlign w:val="bottom"/>
            <w:gridSpan w:val="10"/>
          </w:tcPr>
          <w:p>
            <w:pPr>
              <w:ind w:left="60"/>
              <w:spacing w:after="0"/>
              <w:rPr>
                <w:sz w:val="20"/>
                <w:szCs w:val="20"/>
                <w:color w:val="auto"/>
              </w:rPr>
            </w:pPr>
            <w:r>
              <w:rPr>
                <w:rFonts w:ascii="Times New Roman" w:cs="Times New Roman" w:eastAsia="Times New Roman" w:hAnsi="Times New Roman"/>
                <w:sz w:val="7"/>
                <w:szCs w:val="7"/>
                <w:color w:val="auto"/>
              </w:rPr>
              <w:t xml:space="preserve">(a) </w:t>
            </w:r>
            <w:r>
              <w:rPr>
                <w:rFonts w:ascii="Times New Roman" w:cs="Times New Roman" w:eastAsia="Times New Roman" w:hAnsi="Times New Roman"/>
                <w:sz w:val="11"/>
                <w:szCs w:val="11"/>
                <w:color w:val="auto"/>
              </w:rPr>
              <w:t>As of December 31, 2025, the notional amount includes forward swaps that are not included in the percentage of outstanding principal disclosed.</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Annual Maturities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10"/>
          </w:tcPr>
          <w:p>
            <w:pPr>
              <w:ind w:left="320"/>
              <w:spacing w:after="0"/>
              <w:rPr>
                <w:sz w:val="20"/>
                <w:szCs w:val="20"/>
                <w:color w:val="auto"/>
              </w:rPr>
            </w:pPr>
            <w:r>
              <w:rPr>
                <w:rFonts w:ascii="Times New Roman" w:cs="Times New Roman" w:eastAsia="Times New Roman" w:hAnsi="Times New Roman"/>
                <w:sz w:val="14"/>
                <w:szCs w:val="14"/>
                <w:color w:val="auto"/>
              </w:rPr>
              <w:t>Annual payments based on the maturities of the Company’s debt, for the years ending after December 31, 2025, are as follows: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63"/>
        </w:trPr>
        <w:tc>
          <w:tcPr>
            <w:tcW w:w="2640" w:type="dxa"/>
            <w:vAlign w:val="bottom"/>
            <w:tcBorders>
              <w:top w:val="single" w:sz="8" w:color="CCEEFF"/>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 xml:space="preserve">2026 </w:t>
            </w:r>
            <w:r>
              <w:rPr>
                <w:rFonts w:ascii="Times New Roman" w:cs="Times New Roman" w:eastAsia="Times New Roman" w:hAnsi="Times New Roman"/>
                <w:sz w:val="16"/>
                <w:szCs w:val="16"/>
                <w:color w:val="auto"/>
                <w:vertAlign w:val="superscript"/>
              </w:rPr>
              <w:t>(a)</w:t>
            </w:r>
          </w:p>
        </w:tc>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gridSpan w:val="2"/>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4" w:lineRule="exact"/>
        <w:rPr>
          <w:sz w:val="20"/>
          <w:szCs w:val="20"/>
          <w:color w:val="auto"/>
        </w:rPr>
      </w:pPr>
    </w:p>
    <w:p>
      <w:pPr>
        <w:ind w:firstLine="5"/>
        <w:spacing w:after="0"/>
        <w:tabs>
          <w:tab w:leader="none" w:pos="130" w:val="left"/>
        </w:tabs>
        <w:numPr>
          <w:ilvl w:val="0"/>
          <w:numId w:val="7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At December 31, 2025, amount includes $431 million of construction-related financings recorded in long-term debt on the Company’s consolidated balance sheet that is being funded through long-term equity contributions or is converting to long-term debt.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color w:val="auto"/>
        </w:rPr>
        <w:t>Note 11 — Members’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Equity Offering Program, or the ATM Program</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August 6, 2025, the Company and Clearway, Inc. entered into an equity distribution agreement with Morgan Stanley &amp; Co. LLC, BofA Securities, Inc., Citigroup Global Markets Inc., J.P. Morgan Securities LLC and Wells Fargo Securities LLC, as sales agents. Pursuant to the terms of the agreement, Clearway, Inc. may offer and sell shares of its Class C common stock, from time to time through the sales agents, up to an aggregate sales price of $100 million through an at-the-market equity offering program, or ATM Program. During the year ended December 31, 2025, Clearway, Inc. issued 787,980 shares of Class C common stock under the ATM Program for gross proceeds of $25 million and incurred fees of less than $1 million, which were exchanged for 787,980 of the Company’s Class C units. The net proceeds from the sale of shares under the ATM Program were used for general corporate purposes. As of December 31, 2025, approximately $75 million of Clearway, Inc.’s Class C common stock remained available for issuance under the ATM Program.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Reinvestment and Direct Stock Purchase Plan, or DRIP/DSPP</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On August 6, 2025, Clearway, Inc. adopted a DRIP and DSPP, under which Clearway, Inc. registered and reserved for issuance up to an aggregate of 3,300,000 shares of Class C common stock. Under the DRIP, holders of Clearway, Inc.’s Class C common stock can designate all or a portion of their cash dividends, when paid, to be reinvested in additional shares of Clearway, Inc.’s Class C common stock. The DSPP allows (i) plan participants and registered stockholders of Clearway, Inc. who are not plan participants to purchase shares of Clearway, Inc.’s Class C common stock in the minimum amount of $50 per investment up to a maximum aggregate amount of $150,000 per calendar year; (ii) new investors who do not own shares of Clearway, Inc.’s Class C common stock to purchase shares by making an initial minimum investment of $250, up to a maximum aggregate amount of $150,000 per calendar year; and (iii) plan participants, other registered stockholders and new investors to request a waiver from Clearway, Inc. to make optional cash investments in excess of the maximum aggregate amount of $150,000 per calendar year. During the year ended December 31, 2025, Clearway, Inc. issued 793,202 shares of Class C common stock under the DSPP for gross proceeds of $25 million and incurred fees of less than $1 million, which were exchanged for 793,202 of the Company’s Class C units. The net proceeds from the sale of shares under the DSPP were used for general corporate purposes. As of December 31, 2025, approximately 2,506,798 shares of Clearway, Inc.’s Class C common stock remained available for issuance under the DRIP/DSPP.</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January 2026, Clearway, Inc. issued 1,445,244 shares of Class C common stock under the DSPP for gross proceeds of $50 million and incurred fees of less than $1 million, which were exchanged for 1,445,244 of the Company’s Class C units. As of January 31, 2026, approximately 1,061,554 shares of Clearway, Inc’s Class C common stock remained available for issuance under the DRIP/DSPP.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list the distributions paid on the Company’s Class A, Class B, Class C and Class D units during the years ended December 31, 2025, 2024 and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Fourth Quarter 2025</w:t>
            </w:r>
          </w:p>
        </w:tc>
        <w:tc>
          <w:tcPr>
            <w:tcW w:w="14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2025</w:t>
            </w:r>
          </w:p>
        </w:tc>
        <w:tc>
          <w:tcPr>
            <w:tcW w:w="14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2025</w:t>
            </w:r>
          </w:p>
        </w:tc>
        <w:tc>
          <w:tcPr>
            <w:tcW w:w="160" w:type="dxa"/>
            <w:vAlign w:val="bottom"/>
          </w:tcPr>
          <w:p>
            <w:pPr>
              <w:spacing w:after="0"/>
              <w:rPr>
                <w:sz w:val="13"/>
                <w:szCs w:val="13"/>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2025</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0.4312</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0.4312</w:t>
            </w:r>
          </w:p>
        </w:tc>
      </w:tr>
      <w:tr>
        <w:trPr>
          <w:trHeight w:val="367"/>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Fourth Quarter 2024</w:t>
            </w:r>
          </w:p>
        </w:tc>
        <w:tc>
          <w:tcPr>
            <w:tcW w:w="14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60" w:type="dxa"/>
            <w:vAlign w:val="bottom"/>
          </w:tcPr>
          <w:p>
            <w:pPr>
              <w:spacing w:after="0"/>
              <w:rPr>
                <w:sz w:val="24"/>
                <w:szCs w:val="24"/>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356"/>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Fourth Quarter 2023</w:t>
            </w:r>
          </w:p>
        </w:tc>
        <w:tc>
          <w:tcPr>
            <w:tcW w:w="14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2023</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2023</w:t>
            </w:r>
          </w:p>
        </w:tc>
        <w:tc>
          <w:tcPr>
            <w:tcW w:w="160" w:type="dxa"/>
            <w:vAlign w:val="bottom"/>
          </w:tcPr>
          <w:p>
            <w:pPr>
              <w:spacing w:after="0"/>
              <w:rPr>
                <w:sz w:val="24"/>
                <w:szCs w:val="24"/>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2023</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800"/>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974"/>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7"/>
        </w:trPr>
        <w:tc>
          <w:tcPr>
            <w:tcW w:w="5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39" w:name="page140"/>
    <w:bookmarkEnd w:id="139"/>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In addition to the quarterly distributions, on June 10, 2025, the Company distributed an additional $16 million, $9 million of which was distributed to Clearway, Inc. related to its contribution through Pine Forest TE Class A, an indirect subsidiary of Clearway, Inc., to acquire the Class A membership interests in Pine Forest TE HoldCo LLC, as further described in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r>
        <w:rPr>
          <w:rFonts w:ascii="Times New Roman" w:cs="Times New Roman" w:eastAsia="Times New Roman" w:hAnsi="Times New Roman"/>
          <w:sz w:val="14"/>
          <w:szCs w:val="14"/>
          <w:color w:val="auto"/>
        </w:rPr>
        <w:t>, and $7 million of which was distributed to CEG, which represents CEG’s pro-rata share of the additional distributions. On December 17, 2025, the Company distributed an additional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$28 million, $16 million of which was distributed to Clearway, Inc. related to its additional contribution through Pine Forest TE Class A to complete its acquisition of the Class A membership interests in Pine Forest TE HoldCo LLC,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and $12 million of which was distributed to CEG, which represents CEG’s pro-rata share of the additional distributions.</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February 17, 2026, the Company declared a quarterly distribution on its Class B and Class D units of $0.4602 per unit payable on March 16, 2026 to unit holders of record as of March 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Segment Reporting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Flexible Generation and Renewables</w:t>
      </w:r>
    </w:p>
    <w:p>
      <w:pPr>
        <w:spacing w:after="0" w:line="23" w:lineRule="exact"/>
        <w:rPr>
          <w:sz w:val="20"/>
          <w:szCs w:val="20"/>
          <w:color w:val="auto"/>
        </w:rPr>
      </w:pPr>
    </w:p>
    <w:p>
      <w:pPr>
        <w:jc w:val="both"/>
        <w:ind w:firstLine="5"/>
        <w:spacing w:after="0" w:line="259" w:lineRule="auto"/>
        <w:tabs>
          <w:tab w:leader="none" w:pos="15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10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Approximately 58% of the Company’s operating revenues and 45% of the Company’s assets relate to operations located in California. Also, the Company generated more than 10% of its revenues from the following customers for the years ended December 31, 2025, 2024 and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11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SCE</w:t>
            </w:r>
          </w:p>
        </w:tc>
        <w:tc>
          <w:tcPr>
            <w:tcW w:w="11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3"/>
                <w:szCs w:val="13"/>
                <w:color w:val="auto"/>
                <w:w w:val="92"/>
              </w:rPr>
              <w:t>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ind w:left="180"/>
              <w:spacing w:after="0"/>
              <w:rPr>
                <w:sz w:val="20"/>
                <w:szCs w:val="20"/>
                <w:color w:val="auto"/>
              </w:rPr>
            </w:pPr>
            <w:r>
              <w:rPr>
                <w:rFonts w:ascii="Times New Roman" w:cs="Times New Roman" w:eastAsia="Times New Roman" w:hAnsi="Times New Roman"/>
                <w:sz w:val="13"/>
                <w:szCs w:val="13"/>
                <w:color w:val="auto"/>
              </w:rPr>
              <w:t>15%</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5"/>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PG&amp;E</w:t>
            </w: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auto"/>
                <w:w w:val="92"/>
              </w:rPr>
              <w:t>2%</w:t>
            </w:r>
          </w:p>
        </w:tc>
        <w:tc>
          <w:tcPr>
            <w:tcW w:w="1180" w:type="dxa"/>
            <w:vAlign w:val="bottom"/>
            <w:gridSpan w:val="3"/>
          </w:tcPr>
          <w:p>
            <w:pPr>
              <w:jc w:val="center"/>
              <w:ind w:left="358"/>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Pr>
          <w:p>
            <w:pPr>
              <w:spacing w:after="0"/>
              <w:rPr>
                <w:sz w:val="14"/>
                <w:szCs w:val="14"/>
                <w:color w:val="auto"/>
              </w:rPr>
            </w:pPr>
          </w:p>
        </w:tc>
        <w:tc>
          <w:tcPr>
            <w:tcW w:w="1120" w:type="dxa"/>
            <w:vAlign w:val="bottom"/>
            <w:gridSpan w:val="3"/>
          </w:tcPr>
          <w:p>
            <w:pPr>
              <w:jc w:val="right"/>
              <w:ind w:right="19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259"/>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377"/>
        </w:trPr>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00" w:type="dxa"/>
            <w:vAlign w:val="bottom"/>
          </w:tcPr>
          <w:p>
            <w:pPr>
              <w:spacing w:after="0"/>
              <w:rPr>
                <w:sz w:val="13"/>
                <w:szCs w:val="13"/>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297"/>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1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gridSpan w:val="3"/>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0" w:type="dxa"/>
            <w:vAlign w:val="bottom"/>
          </w:tcPr>
          <w:p>
            <w:pPr>
              <w:spacing w:after="0"/>
              <w:rPr>
                <w:sz w:val="1"/>
                <w:szCs w:val="1"/>
                <w:color w:val="auto"/>
              </w:rPr>
            </w:pPr>
          </w:p>
        </w:tc>
      </w:tr>
      <w:tr>
        <w:trPr>
          <w:trHeight w:val="168"/>
        </w:trPr>
        <w:tc>
          <w:tcPr>
            <w:tcW w:w="592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 below</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0" w:type="dxa"/>
            <w:vAlign w:val="bottom"/>
          </w:tcPr>
          <w:p>
            <w:pPr>
              <w:spacing w:after="0"/>
              <w:rPr>
                <w:sz w:val="1"/>
                <w:szCs w:val="1"/>
                <w:color w:val="auto"/>
              </w:rPr>
            </w:pP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8"/>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3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 benefit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58"/>
        </w:trPr>
        <w:tc>
          <w:tcPr>
            <w:tcW w:w="574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and redeemable noncontrolling interests</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0" w:type="dxa"/>
            <w:vAlign w:val="bottom"/>
          </w:tcPr>
          <w:p>
            <w:pPr>
              <w:spacing w:after="0"/>
              <w:rPr>
                <w:sz w:val="1"/>
                <w:szCs w:val="1"/>
                <w:color w:val="auto"/>
              </w:rPr>
            </w:pPr>
          </w:p>
        </w:tc>
      </w:tr>
      <w:tr>
        <w:trPr>
          <w:trHeight w:val="18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LLC</w:t>
            </w:r>
          </w:p>
        </w:tc>
        <w:tc>
          <w:tcPr>
            <w:tcW w:w="1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3"/>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4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140" w:type="dxa"/>
            <w:vAlign w:val="bottom"/>
            <w:shd w:val="clear" w:color="auto" w:fill="CCEEFF"/>
          </w:tcPr>
          <w:p>
            <w:pPr>
              <w:spacing w:after="0"/>
              <w:rPr>
                <w:sz w:val="14"/>
                <w:szCs w:val="14"/>
                <w:color w:val="auto"/>
              </w:rPr>
            </w:pPr>
          </w:p>
        </w:tc>
        <w:tc>
          <w:tcPr>
            <w:tcW w:w="136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6"/>
                <w:szCs w:val="16"/>
                <w:color w:val="auto"/>
                <w:vertAlign w:val="superscript"/>
              </w:rPr>
              <w:t>(b)</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140" w:type="dxa"/>
            <w:vAlign w:val="bottom"/>
            <w:shd w:val="clear" w:color="auto" w:fill="CCEEFF"/>
          </w:tcPr>
          <w:p>
            <w:pPr>
              <w:spacing w:after="0"/>
              <w:rPr>
                <w:sz w:val="14"/>
                <w:szCs w:val="14"/>
                <w:color w:val="auto"/>
              </w:rPr>
            </w:pPr>
          </w:p>
        </w:tc>
        <w:tc>
          <w:tcPr>
            <w:tcW w:w="136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14,557</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8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eliminations.</w:t>
      </w:r>
    </w:p>
    <w:p>
      <w:pPr>
        <w:spacing w:after="0" w:line="2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8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accruals.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14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0" w:type="dxa"/>
            <w:vAlign w:val="bottom"/>
          </w:tcPr>
          <w:p>
            <w:pPr>
              <w:spacing w:after="0"/>
              <w:rPr>
                <w:sz w:val="1"/>
                <w:szCs w:val="1"/>
                <w:color w:val="auto"/>
              </w:rPr>
            </w:pPr>
          </w:p>
        </w:tc>
      </w:tr>
      <w:tr>
        <w:trPr>
          <w:trHeight w:val="168"/>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 below</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0" w:type="dxa"/>
            <w:vAlign w:val="bottom"/>
          </w:tcPr>
          <w:p>
            <w:pPr>
              <w:spacing w:after="0"/>
              <w:rPr>
                <w:sz w:val="1"/>
                <w:szCs w:val="1"/>
                <w:color w:val="auto"/>
              </w:rPr>
            </w:pPr>
          </w:p>
        </w:tc>
      </w:tr>
      <w:tr>
        <w:trPr>
          <w:trHeight w:val="168"/>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8"/>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5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63"/>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8"/>
        </w:trPr>
        <w:tc>
          <w:tcPr>
            <w:tcW w:w="5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58"/>
        </w:trPr>
        <w:tc>
          <w:tcPr>
            <w:tcW w:w="5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and redeemable noncontrolling interests</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88"/>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LLC</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(128)</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7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70"/>
        </w:trPr>
        <w:tc>
          <w:tcPr>
            <w:tcW w:w="572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6"/>
                <w:szCs w:val="16"/>
                <w:color w:val="auto"/>
                <w:vertAlign w:val="superscript"/>
              </w:rPr>
              <w:t>(b)</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70"/>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12,236</w:t>
            </w:r>
          </w:p>
        </w:tc>
        <w:tc>
          <w:tcPr>
            <w:tcW w:w="2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14,320</w:t>
            </w:r>
          </w:p>
        </w:tc>
        <w:tc>
          <w:tcPr>
            <w:tcW w:w="0" w:type="dxa"/>
            <w:vAlign w:val="bottom"/>
          </w:tcPr>
          <w:p>
            <w:pPr>
              <w:spacing w:after="0"/>
              <w:rPr>
                <w:sz w:val="1"/>
                <w:szCs w:val="1"/>
                <w:color w:val="auto"/>
              </w:rPr>
            </w:pPr>
          </w:p>
        </w:tc>
      </w:tr>
      <w:tr>
        <w:trPr>
          <w:trHeight w:val="138"/>
        </w:trPr>
        <w:tc>
          <w:tcPr>
            <w:tcW w:w="2200" w:type="dxa"/>
            <w:vAlign w:val="bottom"/>
            <w:tcBorders>
              <w:bottom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72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7"/>
                <w:szCs w:val="17"/>
                <w:color w:val="auto"/>
                <w:vertAlign w:val="superscript"/>
              </w:rPr>
              <w:t>(a)</w:t>
            </w:r>
            <w:r>
              <w:rPr>
                <w:rFonts w:ascii="Times New Roman" w:cs="Times New Roman" w:eastAsia="Times New Roman" w:hAnsi="Times New Roman"/>
                <w:sz w:val="11"/>
                <w:szCs w:val="11"/>
                <w:color w:val="auto"/>
              </w:rPr>
              <w:t xml:space="preserve"> Includes eliminations.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1"/>
                <w:szCs w:val="11"/>
                <w:color w:val="auto"/>
              </w:rPr>
              <w:t xml:space="preserve"> Includes accruals.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Renewables &amp; Storage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5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0" w:type="dxa"/>
            <w:vAlign w:val="bottom"/>
          </w:tcPr>
          <w:p>
            <w:pPr>
              <w:spacing w:after="0"/>
              <w:rPr>
                <w:sz w:val="1"/>
                <w:szCs w:val="1"/>
                <w:color w:val="auto"/>
              </w:rPr>
            </w:pPr>
          </w:p>
        </w:tc>
      </w:tr>
      <w:tr>
        <w:trPr>
          <w:trHeight w:val="168"/>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 below</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0" w:type="dxa"/>
            <w:vAlign w:val="bottom"/>
          </w:tcPr>
          <w:p>
            <w:pPr>
              <w:spacing w:after="0"/>
              <w:rPr>
                <w:sz w:val="1"/>
                <w:szCs w:val="1"/>
                <w:color w:val="auto"/>
              </w:rPr>
            </w:pPr>
          </w:p>
        </w:tc>
      </w:tr>
      <w:tr>
        <w:trPr>
          <w:trHeight w:val="168"/>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8"/>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3"/>
        </w:trPr>
        <w:tc>
          <w:tcPr>
            <w:tcW w:w="5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0" w:type="dxa"/>
            <w:vAlign w:val="bottom"/>
          </w:tcPr>
          <w:p>
            <w:pPr>
              <w:spacing w:after="0"/>
              <w:rPr>
                <w:sz w:val="1"/>
                <w:szCs w:val="1"/>
                <w:color w:val="auto"/>
              </w:rPr>
            </w:pPr>
          </w:p>
        </w:tc>
      </w:tr>
      <w:tr>
        <w:trPr>
          <w:trHeight w:val="168"/>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68"/>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0" w:type="dxa"/>
            <w:vAlign w:val="bottom"/>
          </w:tcPr>
          <w:p>
            <w:pPr>
              <w:spacing w:after="0"/>
              <w:rPr>
                <w:sz w:val="1"/>
                <w:szCs w:val="1"/>
                <w:color w:val="auto"/>
              </w:rPr>
            </w:pPr>
          </w:p>
        </w:tc>
      </w:tr>
      <w:tr>
        <w:trPr>
          <w:trHeight w:val="15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benefit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3"/>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and redeemable noncontrolling interests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6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LLC</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eliminations.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color w:val="auto"/>
        </w:rPr>
        <w:t>Note 13 — Related Party Transactions</w:t>
      </w:r>
    </w:p>
    <w:p>
      <w:pPr>
        <w:spacing w:after="0" w:line="138"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 affiliates in the Company’s consolidated balance sheets. The disclosures below summarize the Company’s material related party transactions with CEG and its subsidiaries that are included in the Company’s operating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Master Development Services Agreement with Clearway Renew</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December 22, 2025, the Company entered into a master development services agreement with Clearway Renew under which Clearway Renew will provide pre-construction development, construction management and asset management services in connection with future approved repowerings of the Company’s facilities. The Company did not incur any expenses under this agreement for the year ended December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with Clearway Energy Finance Inc.</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December 17, 2025, in connection with the Pine Forest solar and BESS facility reaching substantial completion, as further discussed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issued a loan to Clearway Energy Finance Inc., a subsidiary of Clearway, Inc., in the amount of $22 million in order to partially fund Pine Forest TE Class A’s additional contribution. The loan bears interest at a fixed rate of 6% and matures on December 17, 2045. As of December 31, 2025, the full $22 million remained outstanding, with the significant majority included in other non-current assets on the Company’s consolidated balance sheet.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Goat Mountain Development Services Agreement with Clearway Renew</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July 23, 2025, the Company entered into a development services agreement with Clearway Renew under which Clearway Renew will provide pre-construction development, construction management and asset management services in connection with the repowering of the Goat Mountain wind facility, which is located in Sterling City, Texas. Contingent upon achieving repowering commercial operations in 2027, the 306 MW facility will sell power to an investment-grade counterparty under a new 15-year PPA. In connection with the agreement, on December 12, 2025, the Company paid Clearway Renew $27 million, of which $25 million is related to the future delivery of equipment and is included in other non-current assets on the Company’s consolidated balance sheet, and $2 million is related to capital expenditures.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wholly-owned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$82 million for each of the years ended December 31, 2025 and 2024, and $73 million for the year ended December 31, 2023, included in cost of operations in the consolidated statements of operations. There was a balance of $8 million and $12 million due to RENOM as of December 31, 2025 and 2024,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$26 million, $22 million and $20 million for the years ended December 31, 2025, 2024 and 2023, respectively, included in cost of operations in the consolidated statements of operations. There was a balance of $3 million due to CEG as of December 31, 2025 and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w:t>
      </w:r>
    </w:p>
    <w:p>
      <w:pPr>
        <w:spacing w:after="0" w:line="13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The Company, along with Clearway, Inc. and certain of its subsidiaries,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effective on January 1, 2025, accounting, internal audit, tax, legal and treasury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Effective January 1, 2025, the Company directly bears all labor costs for certain employees of CEG who perform work on behalf of the Company.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2" w:name="page143"/>
    <w:bookmarkEnd w:id="142"/>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incurred net expenses under the CEG Master Services Agreement of $24 million, $6 million and $5 million for the years ended December 31, 2025, 2024 and 2023, respectively, included in general and administrative in the consolidated statements of operations. There was a balance of zero and $5 million due to CEG as of December 31,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Contingencies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records reserves for estimated losses from contingencies when information available indicates that a loss is probable and the amount of the loss, or range of loss, can be reasonably estimated. As applicable, the Company will establish an adequate reserve for ongoing legal matters.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ongoing legal proceedings or reasonably estimate the scope or amount of any associated costs and potential liabilities. As additional information becomes available, management adjusts its assessment and estimate of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27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are party to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Leases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Leases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evaluates each arrangement at inception to determine if it contains a lease. Substantially all of the Company’s leases are operating leases.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Lessee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leases consist of land leases for numerous operating asset locations, real estate leases and equipment leases. The terms and conditions for these leases vary by the type of underlying asset. Certain of these leases have both lease and non-lease components and the Company has elected to apply the practical expedient to not separate these components.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Lease expense was comprised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64"/>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cost - Fixed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cost - Variable</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5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1331"/>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7"/>
        </w:trPr>
        <w:tc>
          <w:tcPr>
            <w:tcW w:w="5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3" w:name="page144"/>
    <w:bookmarkEnd w:id="143"/>
    <w:p>
      <w:pPr>
        <w:ind w:left="320"/>
        <w:spacing w:after="0"/>
        <w:rPr>
          <w:sz w:val="20"/>
          <w:szCs w:val="20"/>
          <w:color w:val="auto"/>
        </w:rPr>
      </w:pPr>
      <w:r>
        <w:rPr>
          <w:rFonts w:ascii="Times New Roman" w:cs="Times New Roman" w:eastAsia="Times New Roman" w:hAnsi="Times New Roman"/>
          <w:sz w:val="14"/>
          <w:szCs w:val="14"/>
          <w:color w:val="auto"/>
        </w:rPr>
        <w:t>Operating lease information was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1"/>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r>
      <w:tr>
        <w:trPr>
          <w:trHeight w:val="172"/>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1460" w:type="dxa"/>
            <w:vAlign w:val="bottom"/>
            <w:shd w:val="clear" w:color="auto" w:fill="CCEEFF"/>
          </w:tcPr>
          <w:p>
            <w:pPr>
              <w:jc w:val="right"/>
              <w:ind w:right="1311"/>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4"/>
                <w:szCs w:val="14"/>
                <w:color w:val="auto"/>
              </w:rPr>
            </w:pPr>
          </w:p>
        </w:tc>
      </w:tr>
      <w:tr>
        <w:trPr>
          <w:trHeight w:val="39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term and rate)</w:t>
            </w:r>
          </w:p>
        </w:tc>
        <w:tc>
          <w:tcPr>
            <w:tcW w:w="14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94"/>
        </w:trPr>
        <w:tc>
          <w:tcPr>
            <w:tcW w:w="520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4"/>
                <w:szCs w:val="14"/>
                <w:color w:val="auto"/>
              </w:rPr>
              <w:t xml:space="preserve">Right-of-use assets - operating leases, net </w:t>
            </w:r>
            <w:r>
              <w:rPr>
                <w:rFonts w:ascii="Times New Roman" w:cs="Times New Roman" w:eastAsia="Times New Roman" w:hAnsi="Times New Roman"/>
                <w:sz w:val="18"/>
                <w:szCs w:val="18"/>
                <w:color w:val="auto"/>
                <w:vertAlign w:val="superscript"/>
              </w:rPr>
              <w:t>(a)</w:t>
            </w:r>
          </w:p>
        </w:tc>
        <w:tc>
          <w:tcPr>
            <w:tcW w:w="1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714</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547</w:t>
            </w:r>
          </w:p>
        </w:tc>
        <w:tc>
          <w:tcPr>
            <w:tcW w:w="40" w:type="dxa"/>
            <w:vAlign w:val="bottom"/>
            <w:shd w:val="clear" w:color="auto" w:fill="CCEEFF"/>
          </w:tcPr>
          <w:p>
            <w:pPr>
              <w:spacing w:after="0"/>
              <w:rPr>
                <w:sz w:val="16"/>
                <w:szCs w:val="16"/>
                <w:color w:val="auto"/>
              </w:rPr>
            </w:pPr>
          </w:p>
        </w:tc>
      </w:tr>
      <w:tr>
        <w:trPr>
          <w:trHeight w:val="107"/>
        </w:trPr>
        <w:tc>
          <w:tcPr>
            <w:tcW w:w="5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7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r>
      <w:tr>
        <w:trPr>
          <w:trHeight w:val="180"/>
        </w:trPr>
        <w:tc>
          <w:tcPr>
            <w:tcW w:w="52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Short-term lease liability - operating leases </w:t>
            </w:r>
            <w:r>
              <w:rPr>
                <w:rFonts w:ascii="Times New Roman" w:cs="Times New Roman" w:eastAsia="Times New Roman" w:hAnsi="Times New Roman"/>
                <w:sz w:val="18"/>
                <w:szCs w:val="18"/>
                <w:color w:val="auto"/>
                <w:vertAlign w:val="superscript"/>
              </w:rPr>
              <w:t>(b)</w:t>
            </w:r>
          </w:p>
        </w:tc>
        <w:tc>
          <w:tcPr>
            <w:tcW w:w="16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5"/>
                <w:szCs w:val="15"/>
                <w:color w:val="auto"/>
              </w:rPr>
            </w:pPr>
          </w:p>
        </w:tc>
      </w:tr>
      <w:tr>
        <w:trPr>
          <w:trHeight w:val="212"/>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 xml:space="preserve">Long-term lease liability - operating leases </w:t>
            </w:r>
            <w:r>
              <w:rPr>
                <w:rFonts w:ascii="Times New Roman" w:cs="Times New Roman" w:eastAsia="Times New Roman" w:hAnsi="Times New Roman"/>
                <w:sz w:val="18"/>
                <w:szCs w:val="18"/>
                <w:color w:val="auto"/>
                <w:vertAlign w:val="superscript"/>
              </w:rPr>
              <w:t>(a)</w:t>
            </w:r>
          </w:p>
        </w:tc>
        <w:tc>
          <w:tcPr>
            <w:tcW w:w="1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569</w:t>
            </w:r>
          </w:p>
        </w:tc>
        <w:tc>
          <w:tcPr>
            <w:tcW w:w="40" w:type="dxa"/>
            <w:vAlign w:val="bottom"/>
            <w:tcBorders>
              <w:bottom w:val="single" w:sz="8" w:color="auto"/>
            </w:tcBorders>
          </w:tcPr>
          <w:p>
            <w:pPr>
              <w:spacing w:after="0"/>
              <w:rPr>
                <w:sz w:val="18"/>
                <w:szCs w:val="18"/>
                <w:color w:val="auto"/>
              </w:rPr>
            </w:pPr>
          </w:p>
        </w:tc>
      </w:tr>
      <w:tr>
        <w:trPr>
          <w:trHeight w:val="196"/>
        </w:trPr>
        <w:tc>
          <w:tcPr>
            <w:tcW w:w="52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1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579</w:t>
            </w:r>
          </w:p>
        </w:tc>
        <w:tc>
          <w:tcPr>
            <w:tcW w:w="40" w:type="dxa"/>
            <w:vAlign w:val="bottom"/>
            <w:tcBorders>
              <w:bottom w:val="single" w:sz="8" w:color="auto"/>
            </w:tcBorders>
            <w:shd w:val="clear" w:color="auto" w:fill="CCEEFF"/>
          </w:tcPr>
          <w:p>
            <w:pPr>
              <w:spacing w:after="0"/>
              <w:rPr>
                <w:sz w:val="16"/>
                <w:szCs w:val="16"/>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9"/>
        </w:trPr>
        <w:tc>
          <w:tcPr>
            <w:tcW w:w="5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8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r>
      <w:tr>
        <w:trPr>
          <w:trHeight w:val="184"/>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138811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6" w:lineRule="exact"/>
        <w:rPr>
          <w:sz w:val="20"/>
          <w:szCs w:val="20"/>
          <w:color w:val="auto"/>
        </w:rPr>
      </w:pPr>
    </w:p>
    <w:p>
      <w:pPr>
        <w:ind w:left="180" w:hanging="111"/>
        <w:spacing w:after="0"/>
        <w:tabs>
          <w:tab w:leader="none" w:pos="180" w:val="left"/>
        </w:tabs>
        <w:numPr>
          <w:ilvl w:val="0"/>
          <w:numId w:val="8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 xml:space="preserve">Increases in right-of-use assets and long-term lease liabilities are primarily due to third-party acquisitions, as further described in Note 3, </w:t>
      </w:r>
      <w:r>
        <w:rPr>
          <w:rFonts w:ascii="Times New Roman" w:cs="Times New Roman" w:eastAsia="Times New Roman" w:hAnsi="Times New Roman"/>
          <w:sz w:val="11"/>
          <w:szCs w:val="11"/>
          <w:i w:val="1"/>
          <w:iCs w:val="1"/>
          <w:color w:val="auto"/>
        </w:rPr>
        <w:t>Acquisitions and Dispositions</w:t>
      </w:r>
      <w:r>
        <w:rPr>
          <w:rFonts w:ascii="Times New Roman" w:cs="Times New Roman" w:eastAsia="Times New Roman" w:hAnsi="Times New Roman"/>
          <w:sz w:val="11"/>
          <w:szCs w:val="11"/>
          <w:color w:val="auto"/>
        </w:rPr>
        <w:t>.</w:t>
      </w:r>
    </w:p>
    <w:p>
      <w:pPr>
        <w:spacing w:after="0" w:line="43" w:lineRule="exact"/>
        <w:rPr>
          <w:rFonts w:ascii="Times New Roman" w:cs="Times New Roman" w:eastAsia="Times New Roman" w:hAnsi="Times New Roman"/>
          <w:sz w:val="15"/>
          <w:szCs w:val="15"/>
          <w:color w:val="auto"/>
          <w:vertAlign w:val="superscript"/>
        </w:rPr>
      </w:pPr>
    </w:p>
    <w:p>
      <w:pPr>
        <w:ind w:left="180" w:hanging="111"/>
        <w:spacing w:after="0" w:line="203" w:lineRule="auto"/>
        <w:tabs>
          <w:tab w:leader="none" w:pos="180" w:val="left"/>
        </w:tabs>
        <w:numPr>
          <w:ilvl w:val="0"/>
          <w:numId w:val="8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Short-term lease liability balances are included within the accrued expenses and other current liabilities line item of the consolidated balance sheets as of December 31, 2025 and 2024.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Minimum future rental payments of operating lease liabilities as of December 31, 2025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5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0"/>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2027</w:t>
            </w:r>
          </w:p>
        </w:tc>
        <w:tc>
          <w:tcPr>
            <w:tcW w:w="5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2028</w:t>
            </w:r>
          </w:p>
        </w:tc>
        <w:tc>
          <w:tcPr>
            <w:tcW w:w="5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2029</w:t>
            </w:r>
          </w:p>
        </w:tc>
        <w:tc>
          <w:tcPr>
            <w:tcW w:w="5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2030</w:t>
            </w:r>
          </w:p>
        </w:tc>
        <w:tc>
          <w:tcPr>
            <w:tcW w:w="5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Thereafter</w:t>
            </w:r>
          </w:p>
        </w:tc>
        <w:tc>
          <w:tcPr>
            <w:tcW w:w="5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5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Less imputed interest</w:t>
            </w:r>
          </w:p>
        </w:tc>
        <w:tc>
          <w:tcPr>
            <w:tcW w:w="5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lease liability - operating leases</w:t>
            </w:r>
          </w:p>
        </w:tc>
        <w:tc>
          <w:tcPr>
            <w:tcW w:w="5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3249"/>
              <w:spacing w:after="0"/>
              <w:rPr>
                <w:sz w:val="20"/>
                <w:szCs w:val="20"/>
                <w:color w:val="auto"/>
              </w:rPr>
            </w:pPr>
            <w:r>
              <w:rPr>
                <w:rFonts w:ascii="Times New Roman" w:cs="Times New Roman" w:eastAsia="Times New Roman" w:hAnsi="Times New Roman"/>
                <w:sz w:val="14"/>
                <w:szCs w:val="14"/>
                <w:color w:val="auto"/>
              </w:rPr>
              <w:t>139</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6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51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4" w:name="page145"/>
    <w:bookmarkEnd w:id="144"/>
    <w:p>
      <w:pPr>
        <w:ind w:right="440" w:firstLine="318"/>
        <w:spacing w:after="0" w:line="287" w:lineRule="auto"/>
        <w:rPr>
          <w:sz w:val="20"/>
          <w:szCs w:val="20"/>
          <w:color w:val="auto"/>
        </w:rPr>
      </w:pPr>
      <w:r>
        <w:rPr>
          <w:rFonts w:ascii="Times New Roman" w:cs="Times New Roman" w:eastAsia="Times New Roman" w:hAnsi="Times New Roman"/>
          <w:sz w:val="14"/>
          <w:szCs w:val="14"/>
          <w:color w:val="auto"/>
        </w:rPr>
        <w:t>The Company is party to various land lease agreements with wholly-owned subsidiaries of CEG that are accounted for as operating leases. The following table summarizes the land lease agreements: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Right-of-use assets, net</w:t>
            </w:r>
          </w:p>
        </w:tc>
        <w:tc>
          <w:tcPr>
            <w:tcW w:w="2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Long-term lease liabilities</w:t>
            </w:r>
          </w:p>
        </w:tc>
        <w:tc>
          <w:tcPr>
            <w:tcW w:w="2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9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Lease expiration</w:t>
            </w:r>
          </w:p>
        </w:tc>
      </w:tr>
      <w:tr>
        <w:trPr>
          <w:trHeight w:val="16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r>
      <w:tr>
        <w:trPr>
          <w:trHeight w:val="180"/>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Daggett 2</w:t>
            </w:r>
          </w:p>
        </w:tc>
        <w:tc>
          <w:tcPr>
            <w:tcW w:w="1600" w:type="dxa"/>
            <w:vAlign w:val="bottom"/>
          </w:tcPr>
          <w:p>
            <w:pPr>
              <w:jc w:val="right"/>
              <w:ind w:right="145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640" w:type="dxa"/>
            <w:vAlign w:val="bottom"/>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23</w:t>
            </w:r>
          </w:p>
        </w:tc>
        <w:tc>
          <w:tcPr>
            <w:tcW w:w="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2058</w:t>
            </w:r>
          </w:p>
        </w:tc>
      </w:tr>
      <w:tr>
        <w:trPr>
          <w:trHeight w:val="18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Daggett 3</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34</w:t>
            </w: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18, 2062</w:t>
            </w:r>
          </w:p>
        </w:tc>
      </w:tr>
      <w:tr>
        <w:trPr>
          <w:trHeight w:val="180"/>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Luna Valley</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19</w:t>
            </w:r>
          </w:p>
        </w:tc>
        <w:tc>
          <w:tcPr>
            <w:tcW w:w="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23, 2058</w:t>
            </w:r>
          </w:p>
        </w:tc>
      </w:tr>
      <w:tr>
        <w:trPr>
          <w:trHeight w:val="18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Mililani I</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21</w:t>
            </w: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31, 2057</w:t>
            </w:r>
          </w:p>
        </w:tc>
      </w:tr>
      <w:tr>
        <w:trPr>
          <w:trHeight w:val="180"/>
        </w:trPr>
        <w:tc>
          <w:tcPr>
            <w:tcW w:w="546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18"/>
                <w:szCs w:val="18"/>
                <w:color w:val="auto"/>
                <w:vertAlign w:val="superscript"/>
              </w:rPr>
              <w:t>(a)</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19</w:t>
            </w:r>
          </w:p>
        </w:tc>
        <w:tc>
          <w:tcPr>
            <w:tcW w:w="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1, 2057</w:t>
            </w:r>
          </w:p>
        </w:tc>
      </w:tr>
      <w:tr>
        <w:trPr>
          <w:trHeight w:val="180"/>
        </w:trPr>
        <w:tc>
          <w:tcPr>
            <w:tcW w:w="54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18"/>
                <w:szCs w:val="18"/>
                <w:color w:val="auto"/>
                <w:vertAlign w:val="superscript"/>
              </w:rPr>
              <w:t>(a)</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12</w:t>
            </w: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31, 2056</w:t>
            </w:r>
          </w:p>
        </w:tc>
      </w:tr>
      <w:tr>
        <w:trPr>
          <w:trHeight w:val="180"/>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Rosamond South I</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16</w:t>
            </w:r>
          </w:p>
        </w:tc>
        <w:tc>
          <w:tcPr>
            <w:tcW w:w="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30, 2058</w:t>
            </w:r>
          </w:p>
        </w:tc>
      </w:tr>
      <w:tr>
        <w:trPr>
          <w:trHeight w:val="212"/>
        </w:trPr>
        <w:tc>
          <w:tcPr>
            <w:tcW w:w="5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Daggett 2</w:t>
            </w:r>
          </w:p>
        </w:tc>
        <w:tc>
          <w:tcPr>
            <w:tcW w:w="1600" w:type="dxa"/>
            <w:vAlign w:val="bottom"/>
            <w:shd w:val="clear" w:color="auto" w:fill="CCEEFF"/>
          </w:tcPr>
          <w:p>
            <w:pPr>
              <w:jc w:val="right"/>
              <w:ind w:right="145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23</w:t>
            </w: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30, 2058</w:t>
            </w:r>
          </w:p>
        </w:tc>
      </w:tr>
      <w:tr>
        <w:trPr>
          <w:trHeight w:val="180"/>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Daggett 3</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34</w:t>
            </w:r>
          </w:p>
        </w:tc>
        <w:tc>
          <w:tcPr>
            <w:tcW w:w="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18, 2062</w:t>
            </w:r>
          </w:p>
        </w:tc>
      </w:tr>
      <w:tr>
        <w:trPr>
          <w:trHeight w:val="18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Mililani I</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21</w:t>
            </w: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31, 2057</w:t>
            </w:r>
          </w:p>
        </w:tc>
      </w:tr>
      <w:tr>
        <w:trPr>
          <w:trHeight w:val="180"/>
        </w:trPr>
        <w:tc>
          <w:tcPr>
            <w:tcW w:w="546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18"/>
                <w:szCs w:val="18"/>
                <w:color w:val="auto"/>
                <w:vertAlign w:val="superscript"/>
              </w:rPr>
              <w:t>(a)</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19</w:t>
            </w:r>
          </w:p>
        </w:tc>
        <w:tc>
          <w:tcPr>
            <w:tcW w:w="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1, 2057</w:t>
            </w:r>
          </w:p>
        </w:tc>
      </w:tr>
      <w:tr>
        <w:trPr>
          <w:trHeight w:val="180"/>
        </w:trPr>
        <w:tc>
          <w:tcPr>
            <w:tcW w:w="54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18"/>
                <w:szCs w:val="18"/>
                <w:color w:val="auto"/>
                <w:vertAlign w:val="superscript"/>
              </w:rPr>
              <w:t>(a)</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12</w:t>
            </w: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31, 2056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8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Company has the ability to extend each of these leases for two additional five-year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Lessor</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majority of the Company’s revenue is obtained through PPAs or other contractual agreements that are accounted for as leases. These leases are comprised of both fixed payments and variable payments contingent upon volumes or performance metrics. Many of the leases have renewal options at the end of the lease term. Termination may be allowed under specific circumstances in the lease arrangements, such as under an event of default. All but one of the Company’s active leases are operating leases. This sales-type lease is further described below. Certain of these operating leases have both lease and non-lease components, and the Company allocates the transaction price to the components based on standalone selling prices.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amounts of energy, capacity and other revenues are related to the Company’s operating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00" w:type="dxa"/>
            <w:vAlign w:val="bottom"/>
          </w:tcPr>
          <w:p>
            <w:pPr>
              <w:spacing w:after="0"/>
              <w:rPr>
                <w:sz w:val="15"/>
                <w:szCs w:val="15"/>
                <w:color w:val="auto"/>
              </w:rPr>
            </w:pPr>
          </w:p>
        </w:tc>
        <w:tc>
          <w:tcPr>
            <w:tcW w:w="1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w w:val="98"/>
              </w:rPr>
              <w:t>Renewables &amp; Storage</w:t>
            </w:r>
          </w:p>
        </w:tc>
        <w:tc>
          <w:tcPr>
            <w:tcW w:w="8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5"/>
                <w:szCs w:val="15"/>
                <w:color w:val="auto"/>
              </w:rPr>
            </w:pPr>
          </w:p>
        </w:tc>
      </w:tr>
      <w:tr>
        <w:trPr>
          <w:trHeight w:val="162"/>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20" w:type="dxa"/>
            <w:vAlign w:val="bottom"/>
          </w:tcPr>
          <w:p>
            <w:pPr>
              <w:spacing w:after="0"/>
              <w:rPr>
                <w:sz w:val="15"/>
                <w:szCs w:val="15"/>
                <w:color w:val="auto"/>
              </w:rPr>
            </w:pPr>
          </w:p>
        </w:tc>
      </w:tr>
      <w:tr>
        <w:trPr>
          <w:trHeight w:val="18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0" w:type="dxa"/>
            <w:vAlign w:val="bottom"/>
          </w:tcPr>
          <w:p>
            <w:pPr>
              <w:spacing w:after="0"/>
              <w:rPr>
                <w:sz w:val="15"/>
                <w:szCs w:val="15"/>
                <w:color w:val="auto"/>
              </w:rPr>
            </w:pPr>
          </w:p>
        </w:tc>
      </w:tr>
      <w:tr>
        <w:trPr>
          <w:trHeight w:val="196"/>
        </w:trPr>
        <w:tc>
          <w:tcPr>
            <w:tcW w:w="4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1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20" w:type="dxa"/>
            <w:vAlign w:val="bottom"/>
          </w:tcPr>
          <w:p>
            <w:pPr>
              <w:spacing w:after="0"/>
              <w:rPr>
                <w:sz w:val="16"/>
                <w:szCs w:val="16"/>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r>
      <w:tr>
        <w:trPr>
          <w:trHeight w:val="158"/>
        </w:trPr>
        <w:tc>
          <w:tcPr>
            <w:tcW w:w="4600" w:type="dxa"/>
            <w:vAlign w:val="bottom"/>
          </w:tcPr>
          <w:p>
            <w:pPr>
              <w:spacing w:after="0"/>
              <w:rPr>
                <w:sz w:val="13"/>
                <w:szCs w:val="13"/>
                <w:color w:val="auto"/>
              </w:rPr>
            </w:pPr>
          </w:p>
        </w:tc>
        <w:tc>
          <w:tcPr>
            <w:tcW w:w="1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880" w:type="dxa"/>
            <w:vAlign w:val="bottom"/>
            <w:tcBorders>
              <w:top w:val="single" w:sz="8" w:color="auto"/>
              <w:bottom w:val="single" w:sz="8" w:color="auto"/>
            </w:tcBorders>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w w:val="98"/>
              </w:rPr>
              <w:t>Renewables &amp; Storage</w:t>
            </w:r>
          </w:p>
        </w:tc>
        <w:tc>
          <w:tcPr>
            <w:tcW w:w="80" w:type="dxa"/>
            <w:vAlign w:val="bottom"/>
            <w:tcBorders>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r>
      <w:tr>
        <w:trPr>
          <w:trHeight w:val="162"/>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20" w:type="dxa"/>
            <w:vAlign w:val="bottom"/>
          </w:tcPr>
          <w:p>
            <w:pPr>
              <w:spacing w:after="0"/>
              <w:rPr>
                <w:sz w:val="15"/>
                <w:szCs w:val="15"/>
                <w:color w:val="auto"/>
              </w:rPr>
            </w:pPr>
          </w:p>
        </w:tc>
      </w:tr>
      <w:tr>
        <w:trPr>
          <w:trHeight w:val="18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0" w:type="dxa"/>
            <w:vAlign w:val="bottom"/>
          </w:tcPr>
          <w:p>
            <w:pPr>
              <w:spacing w:after="0"/>
              <w:rPr>
                <w:sz w:val="15"/>
                <w:szCs w:val="15"/>
                <w:color w:val="auto"/>
              </w:rPr>
            </w:pPr>
          </w:p>
        </w:tc>
      </w:tr>
      <w:tr>
        <w:trPr>
          <w:trHeight w:val="185"/>
        </w:trPr>
        <w:tc>
          <w:tcPr>
            <w:tcW w:w="4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1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20" w:type="dxa"/>
            <w:vAlign w:val="bottom"/>
          </w:tcPr>
          <w:p>
            <w:pPr>
              <w:spacing w:after="0"/>
              <w:rPr>
                <w:sz w:val="15"/>
                <w:szCs w:val="15"/>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1"/>
        </w:trPr>
        <w:tc>
          <w:tcPr>
            <w:tcW w:w="4600" w:type="dxa"/>
            <w:vAlign w:val="bottom"/>
          </w:tcPr>
          <w:p>
            <w:pPr>
              <w:spacing w:after="0"/>
              <w:rPr>
                <w:sz w:val="24"/>
                <w:szCs w:val="24"/>
                <w:color w:val="auto"/>
              </w:rPr>
            </w:pPr>
          </w:p>
        </w:tc>
        <w:tc>
          <w:tcPr>
            <w:tcW w:w="17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140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6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78"/>
        </w:trPr>
        <w:tc>
          <w:tcPr>
            <w:tcW w:w="4600" w:type="dxa"/>
            <w:vAlign w:val="bottom"/>
          </w:tcPr>
          <w:p>
            <w:pPr>
              <w:spacing w:after="0"/>
              <w:rPr>
                <w:sz w:val="15"/>
                <w:szCs w:val="15"/>
                <w:color w:val="auto"/>
              </w:rPr>
            </w:pPr>
          </w:p>
        </w:tc>
        <w:tc>
          <w:tcPr>
            <w:tcW w:w="17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40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tcPr>
          <w:p>
            <w:pPr>
              <w:jc w:val="center"/>
              <w:ind w:right="195"/>
              <w:spacing w:after="0"/>
              <w:rPr>
                <w:sz w:val="20"/>
                <w:szCs w:val="20"/>
                <w:color w:val="auto"/>
              </w:rPr>
            </w:pPr>
            <w:r>
              <w:rPr>
                <w:rFonts w:ascii="Times New Roman" w:cs="Times New Roman" w:eastAsia="Times New Roman" w:hAnsi="Times New Roman"/>
                <w:sz w:val="13"/>
                <w:szCs w:val="13"/>
                <w:b w:val="1"/>
                <w:bCs w:val="1"/>
                <w:color w:val="auto"/>
                <w:w w:val="98"/>
              </w:rPr>
              <w:t>Renewables &amp; Storage</w:t>
            </w:r>
          </w:p>
        </w:tc>
        <w:tc>
          <w:tcPr>
            <w:tcW w:w="10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5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78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r>
      <w:tr>
        <w:trPr>
          <w:trHeight w:val="180"/>
        </w:trPr>
        <w:tc>
          <w:tcPr>
            <w:tcW w:w="4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(a)</w:t>
            </w:r>
          </w:p>
        </w:tc>
        <w:tc>
          <w:tcPr>
            <w:tcW w:w="1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0"/>
        </w:trPr>
        <w:tc>
          <w:tcPr>
            <w:tcW w:w="4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1780" w:type="dxa"/>
            <w:vAlign w:val="bottom"/>
            <w:tcBorders>
              <w:top w:val="single" w:sz="8" w:color="auto"/>
              <w:bottom w:val="single" w:sz="8" w:color="auto"/>
            </w:tcBorders>
          </w:tcPr>
          <w:p>
            <w:pPr>
              <w:jc w:val="right"/>
              <w:ind w:right="163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0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1,054</w:t>
            </w:r>
          </w:p>
        </w:tc>
      </w:tr>
      <w:tr>
        <w:trPr>
          <w:trHeight w:val="20"/>
        </w:trPr>
        <w:tc>
          <w:tcPr>
            <w:tcW w:w="46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1" w:lineRule="exact"/>
        <w:rPr>
          <w:sz w:val="20"/>
          <w:szCs w:val="20"/>
          <w:color w:val="auto"/>
        </w:rPr>
      </w:pPr>
    </w:p>
    <w:p>
      <w:pPr>
        <w:jc w:val="both"/>
        <w:ind w:left="60" w:firstLine="9"/>
        <w:spacing w:after="0" w:line="241" w:lineRule="auto"/>
        <w:tabs>
          <w:tab w:leader="none" w:pos="195" w:val="left"/>
        </w:tabs>
        <w:numPr>
          <w:ilvl w:val="0"/>
          <w:numId w:val="8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On May 31, 2023, the Marsh Landing Black Start addition reached commercial operations and the Company receives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 The lease receivable is included in other current and non-current assets on the Company’s consolidated balance sheet.</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future rent payments the Company expects to receive for the remaining periods related to various facility operating leases as of December 31, 2025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Property, plant and equipment, net related to the Company’s operating leases were as follows:</w:t>
            </w: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20"/>
                <w:szCs w:val="20"/>
                <w:color w:val="auto"/>
              </w:rPr>
            </w:pPr>
          </w:p>
        </w:tc>
        <w:tc>
          <w:tcPr>
            <w:tcW w:w="162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3"/>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center"/>
              <w:ind w:left="1091"/>
              <w:spacing w:after="0"/>
              <w:rPr>
                <w:sz w:val="20"/>
                <w:szCs w:val="20"/>
                <w:color w:val="auto"/>
              </w:rPr>
            </w:pPr>
            <w:r>
              <w:rPr>
                <w:rFonts w:ascii="Times New Roman" w:cs="Times New Roman" w:eastAsia="Times New Roman" w:hAnsi="Times New Roman"/>
                <w:sz w:val="14"/>
                <w:szCs w:val="14"/>
                <w:color w:val="auto"/>
              </w:rPr>
              <w:t>6,642</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4"/>
                <w:szCs w:val="14"/>
                <w:color w:val="auto"/>
              </w:rPr>
              <w:t>6,284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left="1011"/>
              <w:spacing w:after="0"/>
              <w:rPr>
                <w:sz w:val="20"/>
                <w:szCs w:val="20"/>
                <w:color w:val="auto"/>
              </w:rPr>
            </w:pPr>
            <w:r>
              <w:rPr>
                <w:rFonts w:ascii="Times New Roman" w:cs="Times New Roman" w:eastAsia="Times New Roman" w:hAnsi="Times New Roman"/>
                <w:sz w:val="14"/>
                <w:szCs w:val="14"/>
                <w:color w:val="auto"/>
                <w:w w:val="97"/>
              </w:rPr>
              <w:t>(2,520)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4"/>
                <w:szCs w:val="14"/>
                <w:color w:val="auto"/>
              </w:rPr>
              <w:t>(2,276)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center"/>
              <w:ind w:left="1091"/>
              <w:spacing w:after="0"/>
              <w:rPr>
                <w:sz w:val="20"/>
                <w:szCs w:val="20"/>
                <w:color w:val="auto"/>
              </w:rPr>
            </w:pPr>
            <w:r>
              <w:rPr>
                <w:rFonts w:ascii="Times New Roman" w:cs="Times New Roman" w:eastAsia="Times New Roman" w:hAnsi="Times New Roman"/>
                <w:sz w:val="14"/>
                <w:szCs w:val="14"/>
                <w:color w:val="auto"/>
              </w:rPr>
              <w:t>4,122</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4"/>
                <w:szCs w:val="14"/>
                <w:color w:val="auto"/>
              </w:rPr>
              <w:t>4,008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Revision of Previously Issued Unaudited Financial Information (Unaudited)</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During the fourth quarter of 2025, the Company’s management identified errors related to certain calculations of hypothetical liquidation at book value (HLBV) accounting used to allocate net income (loss) to the Company’s redeemable noncontrolling interests and noncontrolling interests in tax equity partnerships in each of the quarters ended March 31, 2025, June 30, 2025 and September 30, 2025. The Company evaluated the materiality of the errors in accordance with Staff Accounting Bulletins No. 99 and No. 108 of the SEC and concluded that the errors were immaterial to all previously reported periods and did not require restatement of any previously issued financial statements.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corrections had no impact on the Company’s consolidated net income (loss) or its consolidated statements of cash flows contained in the Company’s previously issued Quarterly Reports on Form 10-Q for the quarters ended March 31, 2025, June 30, 2025 and September 30, 2025. The Company will revise prior period financial information, including the corresponding notes to the financial statements, related to the errors contained in its previously issued Quarterly Reports on Form 10-Q for the quarters ended March 31, 2025, June 30, 2025 and September 30, 2025, the next time the respective periods are presented.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146" w:name="page147"/>
    <w:bookmarkEnd w:id="146"/>
    <w:p>
      <w:pPr>
        <w:ind w:left="320"/>
        <w:spacing w:after="0"/>
        <w:rPr>
          <w:sz w:val="20"/>
          <w:szCs w:val="20"/>
          <w:color w:val="auto"/>
        </w:rPr>
      </w:pPr>
      <w:r>
        <w:rPr>
          <w:rFonts w:ascii="Times New Roman" w:cs="Times New Roman" w:eastAsia="Times New Roman" w:hAnsi="Times New Roman"/>
          <w:sz w:val="14"/>
          <w:szCs w:val="14"/>
          <w:color w:val="auto"/>
        </w:rPr>
        <w:t>A summary of the corrections to the impacted financial statement line items is presented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54"/>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327"/>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50"/>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Statement of Operations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loss attributable to noncontrolling interests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spacing w:after="0"/>
              <w:rPr>
                <w:sz w:val="13"/>
                <w:szCs w:val="13"/>
                <w:color w:val="auto"/>
              </w:rPr>
            </w:pPr>
          </w:p>
        </w:tc>
        <w:tc>
          <w:tcPr>
            <w:tcW w:w="600" w:type="dxa"/>
            <w:vAlign w:val="bottom"/>
          </w:tcPr>
          <w:p>
            <w:pPr>
              <w:jc w:val="center"/>
              <w:ind w:left="348"/>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r>
      <w:tr>
        <w:trPr>
          <w:trHeight w:val="16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income (loss) attributable to Clearway Energy LLC</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328"/>
              <w:spacing w:after="0"/>
              <w:rPr>
                <w:sz w:val="20"/>
                <w:szCs w:val="20"/>
                <w:color w:val="auto"/>
              </w:rPr>
            </w:pPr>
            <w:r>
              <w:rPr>
                <w:rFonts w:ascii="Times New Roman" w:cs="Times New Roman" w:eastAsia="Times New Roman" w:hAnsi="Times New Roman"/>
                <w:sz w:val="11"/>
                <w:szCs w:val="11"/>
                <w:color w:val="auto"/>
                <w:w w:val="97"/>
              </w:rPr>
              <w:t>(12)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4"/>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Statement of Comprehensive Income (Loss)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4"/>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Comprehensive loss attributable to noncontrolling interests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Comprehensive income (loss) attributable to Clearway Energy LLC</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spacing w:after="0"/>
              <w:rPr>
                <w:sz w:val="13"/>
                <w:szCs w:val="13"/>
                <w:color w:val="auto"/>
              </w:rPr>
            </w:pPr>
          </w:p>
        </w:tc>
        <w:tc>
          <w:tcPr>
            <w:tcW w:w="600" w:type="dxa"/>
            <w:vAlign w:val="bottom"/>
          </w:tcPr>
          <w:p>
            <w:pPr>
              <w:jc w:val="center"/>
              <w:ind w:left="328"/>
              <w:spacing w:after="0"/>
              <w:rPr>
                <w:sz w:val="20"/>
                <w:szCs w:val="20"/>
                <w:color w:val="auto"/>
              </w:rPr>
            </w:pPr>
            <w:r>
              <w:rPr>
                <w:rFonts w:ascii="Times New Roman" w:cs="Times New Roman" w:eastAsia="Times New Roman" w:hAnsi="Times New Roman"/>
                <w:sz w:val="11"/>
                <w:szCs w:val="11"/>
                <w:color w:val="auto"/>
                <w:w w:val="97"/>
              </w:rPr>
              <w:t>(12)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Balance Sheet (As of March 31, 2025)</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Retained earnings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814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spacing w:after="0"/>
              <w:rPr>
                <w:sz w:val="13"/>
                <w:szCs w:val="13"/>
                <w:color w:val="auto"/>
              </w:rPr>
            </w:pPr>
          </w:p>
        </w:tc>
        <w:tc>
          <w:tcPr>
            <w:tcW w:w="600" w:type="dxa"/>
            <w:vAlign w:val="bottom"/>
          </w:tcPr>
          <w:p>
            <w:pPr>
              <w:jc w:val="center"/>
              <w:ind w:left="328"/>
              <w:spacing w:after="0"/>
              <w:rPr>
                <w:sz w:val="20"/>
                <w:szCs w:val="20"/>
                <w:color w:val="auto"/>
              </w:rPr>
            </w:pPr>
            <w:r>
              <w:rPr>
                <w:rFonts w:ascii="Times New Roman" w:cs="Times New Roman" w:eastAsia="Times New Roman" w:hAnsi="Times New Roman"/>
                <w:sz w:val="11"/>
                <w:szCs w:val="11"/>
                <w:color w:val="auto"/>
                <w:w w:val="97"/>
              </w:rPr>
              <w:t>(12)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w:t>
            </w:r>
          </w:p>
        </w:tc>
      </w:tr>
      <w:tr>
        <w:trPr>
          <w:trHeight w:val="16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Noncontrolling interest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3,851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3,863</w:t>
            </w: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Members’ Equity</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5,479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spacing w:after="0"/>
              <w:rPr>
                <w:sz w:val="13"/>
                <w:szCs w:val="13"/>
                <w:color w:val="auto"/>
              </w:rPr>
            </w:pPr>
          </w:p>
        </w:tc>
        <w:tc>
          <w:tcPr>
            <w:tcW w:w="600" w:type="dxa"/>
            <w:vAlign w:val="bottom"/>
          </w:tcPr>
          <w:p>
            <w:pPr>
              <w:jc w:val="center"/>
              <w:ind w:left="348"/>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5,479</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Statements of Members’ Equity</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54"/>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4"/>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income (loss)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328"/>
              <w:spacing w:after="0"/>
              <w:rPr>
                <w:sz w:val="20"/>
                <w:szCs w:val="20"/>
                <w:color w:val="auto"/>
              </w:rPr>
            </w:pPr>
            <w:r>
              <w:rPr>
                <w:rFonts w:ascii="Times New Roman" w:cs="Times New Roman" w:eastAsia="Times New Roman" w:hAnsi="Times New Roman"/>
                <w:sz w:val="11"/>
                <w:szCs w:val="11"/>
                <w:color w:val="auto"/>
                <w:w w:val="97"/>
              </w:rPr>
              <w:t>(12)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Retained Earnings at March 31, 2025</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814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spacing w:after="0"/>
              <w:rPr>
                <w:sz w:val="13"/>
                <w:szCs w:val="13"/>
                <w:color w:val="auto"/>
              </w:rPr>
            </w:pPr>
          </w:p>
        </w:tc>
        <w:tc>
          <w:tcPr>
            <w:tcW w:w="600" w:type="dxa"/>
            <w:vAlign w:val="bottom"/>
          </w:tcPr>
          <w:p>
            <w:pPr>
              <w:jc w:val="center"/>
              <w:ind w:left="328"/>
              <w:spacing w:after="0"/>
              <w:rPr>
                <w:sz w:val="20"/>
                <w:szCs w:val="20"/>
                <w:color w:val="auto"/>
              </w:rPr>
            </w:pPr>
            <w:r>
              <w:rPr>
                <w:rFonts w:ascii="Times New Roman" w:cs="Times New Roman" w:eastAsia="Times New Roman" w:hAnsi="Times New Roman"/>
                <w:sz w:val="11"/>
                <w:szCs w:val="11"/>
                <w:color w:val="auto"/>
                <w:w w:val="97"/>
              </w:rPr>
              <w:t>(12)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w:t>
            </w:r>
          </w:p>
        </w:tc>
      </w:tr>
      <w:tr>
        <w:trPr>
          <w:trHeight w:val="16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spacing w:after="0"/>
              <w:rPr>
                <w:sz w:val="13"/>
                <w:szCs w:val="13"/>
                <w:color w:val="auto"/>
              </w:rPr>
            </w:pPr>
          </w:p>
        </w:tc>
        <w:tc>
          <w:tcPr>
            <w:tcW w:w="600" w:type="dxa"/>
            <w:vAlign w:val="bottom"/>
          </w:tcPr>
          <w:p>
            <w:pPr>
              <w:jc w:val="center"/>
              <w:ind w:left="348"/>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r>
      <w:tr>
        <w:trPr>
          <w:trHeight w:val="16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Noncontrolling Interest at March 31, 2025</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3,851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3,863</w:t>
            </w:r>
          </w:p>
        </w:tc>
      </w:tr>
      <w:tr>
        <w:trPr>
          <w:trHeight w:val="341"/>
        </w:trPr>
        <w:tc>
          <w:tcPr>
            <w:tcW w:w="5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Three months ended June 30, 2025</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 2025</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18"/>
        </w:trPr>
        <w:tc>
          <w:tcPr>
            <w:tcW w:w="51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(in millions)</w:t>
            </w: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8"/>
                <w:szCs w:val="8"/>
                <w:b w:val="1"/>
                <w:bCs w:val="1"/>
                <w:color w:val="auto"/>
              </w:rPr>
              <w:t>As Previously Reported</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8"/>
                <w:szCs w:val="8"/>
                <w:b w:val="1"/>
                <w:bCs w:val="1"/>
                <w:color w:val="auto"/>
              </w:rPr>
              <w:t>As Revised</w:t>
            </w:r>
          </w:p>
        </w:tc>
        <w:tc>
          <w:tcPr>
            <w:tcW w:w="80" w:type="dxa"/>
            <w:vAlign w:val="bottom"/>
          </w:tcPr>
          <w:p>
            <w:pPr>
              <w:spacing w:after="0"/>
              <w:rPr>
                <w:sz w:val="10"/>
                <w:szCs w:val="10"/>
                <w:color w:val="auto"/>
              </w:rPr>
            </w:pPr>
          </w:p>
        </w:tc>
        <w:tc>
          <w:tcPr>
            <w:tcW w:w="146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8"/>
                <w:szCs w:val="8"/>
                <w:b w:val="1"/>
                <w:bCs w:val="1"/>
                <w:color w:val="auto"/>
              </w:rPr>
              <w:t>As Previously Reported</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8"/>
                <w:szCs w:val="8"/>
                <w:b w:val="1"/>
                <w:bCs w:val="1"/>
                <w:color w:val="auto"/>
              </w:rPr>
              <w:t>As Revised</w:t>
            </w:r>
          </w:p>
        </w:tc>
      </w:tr>
      <w:tr>
        <w:trPr>
          <w:trHeight w:val="118"/>
        </w:trPr>
        <w:tc>
          <w:tcPr>
            <w:tcW w:w="5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268"/>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 of Operations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Net loss attributable to noncontrolling interests and redeemable noncontrolling interests</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w:t>
            </w:r>
          </w:p>
        </w:tc>
        <w:tc>
          <w:tcPr>
            <w:tcW w:w="80" w:type="dxa"/>
            <w:vAlign w:val="bottom"/>
          </w:tcPr>
          <w:p>
            <w:pPr>
              <w:spacing w:after="0"/>
              <w:rPr>
                <w:sz w:val="10"/>
                <w:szCs w:val="10"/>
                <w:color w:val="auto"/>
              </w:rPr>
            </w:pPr>
          </w:p>
        </w:tc>
        <w:tc>
          <w:tcPr>
            <w:tcW w:w="840" w:type="dxa"/>
            <w:vAlign w:val="bottom"/>
          </w:tcPr>
          <w:p>
            <w:pPr>
              <w:jc w:val="right"/>
              <w:ind w:right="727"/>
              <w:spacing w:after="0"/>
              <w:rPr>
                <w:sz w:val="20"/>
                <w:szCs w:val="20"/>
                <w:color w:val="auto"/>
              </w:rPr>
            </w:pPr>
            <w:r>
              <w:rPr>
                <w:rFonts w:ascii="Times New Roman" w:cs="Times New Roman" w:eastAsia="Times New Roman" w:hAnsi="Times New Roman"/>
                <w:sz w:val="8"/>
                <w:szCs w:val="8"/>
                <w:color w:val="auto"/>
                <w:w w:val="98"/>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(161)</w:t>
            </w:r>
          </w:p>
        </w:tc>
        <w:tc>
          <w:tcPr>
            <w:tcW w:w="600" w:type="dxa"/>
            <w:vAlign w:val="bottom"/>
          </w:tcPr>
          <w:p>
            <w:pPr>
              <w:jc w:val="right"/>
              <w:ind w:right="488"/>
              <w:spacing w:after="0"/>
              <w:rPr>
                <w:sz w:val="20"/>
                <w:szCs w:val="20"/>
                <w:color w:val="auto"/>
              </w:rPr>
            </w:pPr>
            <w:r>
              <w:rPr>
                <w:rFonts w:ascii="Times New Roman" w:cs="Times New Roman" w:eastAsia="Times New Roman" w:hAnsi="Times New Roman"/>
                <w:sz w:val="8"/>
                <w:szCs w:val="8"/>
                <w:color w:val="auto"/>
                <w:w w:val="98"/>
              </w:rPr>
              <w:t>$</w:t>
            </w:r>
          </w:p>
        </w:tc>
        <w:tc>
          <w:tcPr>
            <w:tcW w:w="80" w:type="dxa"/>
            <w:vAlign w:val="bottom"/>
          </w:tcPr>
          <w:p>
            <w:pPr>
              <w:spacing w:after="0"/>
              <w:rPr>
                <w:sz w:val="10"/>
                <w:szCs w:val="1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17</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(144)</w:t>
            </w: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Net income attributable to Clearway Energy LLC</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69</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64</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8"/>
                <w:szCs w:val="8"/>
                <w:color w:val="auto"/>
                <w:w w:val="98"/>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76</w:t>
            </w:r>
          </w:p>
        </w:tc>
        <w:tc>
          <w:tcPr>
            <w:tcW w:w="60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8"/>
                <w:szCs w:val="8"/>
                <w:color w:val="auto"/>
                <w:w w:val="98"/>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rPr>
              <w:t>(17)</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w:t>
            </w:r>
          </w:p>
        </w:tc>
      </w:tr>
      <w:tr>
        <w:trPr>
          <w:trHeight w:val="118"/>
        </w:trPr>
        <w:tc>
          <w:tcPr>
            <w:tcW w:w="51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 of Comprehensive Income</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Comprehensive loss attributable to noncontrolling interests and redeemable noncontrolling interests</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8"/>
                <w:szCs w:val="8"/>
                <w:color w:val="auto"/>
                <w:w w:val="98"/>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(164)</w:t>
            </w:r>
          </w:p>
        </w:tc>
        <w:tc>
          <w:tcPr>
            <w:tcW w:w="60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8"/>
                <w:szCs w:val="8"/>
                <w:color w:val="auto"/>
                <w:w w:val="98"/>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17</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(147)</w:t>
            </w: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Comprehensive income attributable to Clearway Energy LLC</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48</w:t>
            </w:r>
          </w:p>
        </w:tc>
        <w:tc>
          <w:tcPr>
            <w:tcW w:w="80" w:type="dxa"/>
            <w:vAlign w:val="bottom"/>
          </w:tcPr>
          <w:p>
            <w:pPr>
              <w:spacing w:after="0"/>
              <w:rPr>
                <w:sz w:val="10"/>
                <w:szCs w:val="10"/>
                <w:color w:val="auto"/>
              </w:rPr>
            </w:pPr>
          </w:p>
        </w:tc>
        <w:tc>
          <w:tcPr>
            <w:tcW w:w="840" w:type="dxa"/>
            <w:vAlign w:val="bottom"/>
          </w:tcPr>
          <w:p>
            <w:pPr>
              <w:jc w:val="right"/>
              <w:ind w:right="727"/>
              <w:spacing w:after="0"/>
              <w:rPr>
                <w:sz w:val="20"/>
                <w:szCs w:val="20"/>
                <w:color w:val="auto"/>
              </w:rPr>
            </w:pPr>
            <w:r>
              <w:rPr>
                <w:rFonts w:ascii="Times New Roman" w:cs="Times New Roman" w:eastAsia="Times New Roman" w:hAnsi="Times New Roman"/>
                <w:sz w:val="8"/>
                <w:szCs w:val="8"/>
                <w:color w:val="auto"/>
                <w:w w:val="98"/>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w:t>
            </w:r>
          </w:p>
        </w:tc>
        <w:tc>
          <w:tcPr>
            <w:tcW w:w="600" w:type="dxa"/>
            <w:vAlign w:val="bottom"/>
          </w:tcPr>
          <w:p>
            <w:pPr>
              <w:jc w:val="right"/>
              <w:ind w:right="488"/>
              <w:spacing w:after="0"/>
              <w:rPr>
                <w:sz w:val="20"/>
                <w:szCs w:val="20"/>
                <w:color w:val="auto"/>
              </w:rPr>
            </w:pPr>
            <w:r>
              <w:rPr>
                <w:rFonts w:ascii="Times New Roman" w:cs="Times New Roman" w:eastAsia="Times New Roman" w:hAnsi="Times New Roman"/>
                <w:sz w:val="8"/>
                <w:szCs w:val="8"/>
                <w:color w:val="auto"/>
                <w:w w:val="98"/>
              </w:rPr>
              <w:t>$</w:t>
            </w:r>
          </w:p>
        </w:tc>
        <w:tc>
          <w:tcPr>
            <w:tcW w:w="80" w:type="dxa"/>
            <w:vAlign w:val="bottom"/>
          </w:tcPr>
          <w:p>
            <w:pPr>
              <w:spacing w:after="0"/>
              <w:rPr>
                <w:sz w:val="10"/>
                <w:szCs w:val="1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(17)</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w:t>
            </w:r>
          </w:p>
        </w:tc>
      </w:tr>
      <w:tr>
        <w:trPr>
          <w:trHeight w:val="13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Balance Sheet (As of June 30, 2025)</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Redeemable noncontrolling interest in subsidiaries</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Retained earnings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778</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(17)</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761</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Noncontrolling interest</w:t>
            </w:r>
          </w:p>
        </w:tc>
        <w:tc>
          <w:tcPr>
            <w:tcW w:w="1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4,152</w:t>
            </w:r>
          </w:p>
        </w:tc>
        <w:tc>
          <w:tcPr>
            <w:tcW w:w="140" w:type="dxa"/>
            <w:vAlign w:val="bottom"/>
          </w:tcPr>
          <w:p>
            <w:pPr>
              <w:spacing w:after="0"/>
              <w:rPr>
                <w:sz w:val="10"/>
                <w:szCs w:val="1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10</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4,162</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Total Members’ Equity</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5,575</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5,568</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Statements of Members’ Equity</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b w:val="1"/>
                <w:bCs w:val="1"/>
                <w:color w:val="auto"/>
              </w:rPr>
              <w:t>Retained Earnings: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Net income</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69</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64</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Retained Earnings at June 30, 2025</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778</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(17)</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761</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Noncontrolling Interest:</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Net loss</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09"/>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Noncontrolling Interest at June 30, 2025</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4,152</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10</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4,162</w:t>
            </w: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19"/>
        </w:trPr>
        <w:tc>
          <w:tcPr>
            <w:tcW w:w="5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Three months ended September 30, 2025</w:t>
            </w: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8"/>
                <w:szCs w:val="8"/>
                <w:b w:val="1"/>
                <w:bCs w:val="1"/>
                <w:color w:val="auto"/>
              </w:rPr>
              <w:t>Nine months ended September 30, 2025</w:t>
            </w: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r>
        <w:trPr>
          <w:trHeight w:val="118"/>
        </w:trPr>
        <w:tc>
          <w:tcPr>
            <w:tcW w:w="51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(in millions)</w:t>
            </w: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8"/>
                <w:szCs w:val="8"/>
                <w:b w:val="1"/>
                <w:bCs w:val="1"/>
                <w:color w:val="auto"/>
              </w:rPr>
              <w:t>As Previously Reported</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As Revised</w:t>
            </w: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8"/>
                <w:szCs w:val="8"/>
                <w:b w:val="1"/>
                <w:bCs w:val="1"/>
                <w:color w:val="auto"/>
              </w:rPr>
              <w:t>As Previously Reported</w:t>
            </w: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rPr>
              <w:t>As Revised</w:t>
            </w:r>
          </w:p>
        </w:tc>
      </w:tr>
      <w:tr>
        <w:trPr>
          <w:trHeight w:val="118"/>
        </w:trPr>
        <w:tc>
          <w:tcPr>
            <w:tcW w:w="5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00" w:type="dxa"/>
            <w:vAlign w:val="bottom"/>
            <w:gridSpan w:val="3"/>
          </w:tcPr>
          <w:p>
            <w:pPr>
              <w:jc w:val="right"/>
              <w:ind w:right="498"/>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gridSpan w:val="3"/>
          </w:tcPr>
          <w:p>
            <w:pPr>
              <w:jc w:val="center"/>
              <w:ind w:left="518"/>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 of Operations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Net loss attributable to noncontrolling interests and redeemable noncontrolling interests</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(322)</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(316)</w:t>
            </w:r>
          </w:p>
        </w:tc>
        <w:tc>
          <w:tcPr>
            <w:tcW w:w="80" w:type="dxa"/>
            <w:vAlign w:val="bottom"/>
          </w:tcPr>
          <w:p>
            <w:pPr>
              <w:spacing w:after="0"/>
              <w:rPr>
                <w:sz w:val="10"/>
                <w:szCs w:val="10"/>
                <w:color w:val="auto"/>
              </w:rPr>
            </w:pP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80" w:type="dxa"/>
            <w:vAlign w:val="bottom"/>
          </w:tcPr>
          <w:p>
            <w:pPr>
              <w:jc w:val="center"/>
              <w:ind w:left="1018"/>
              <w:spacing w:after="0"/>
              <w:rPr>
                <w:sz w:val="20"/>
                <w:szCs w:val="20"/>
                <w:color w:val="auto"/>
              </w:rPr>
            </w:pPr>
            <w:r>
              <w:rPr>
                <w:rFonts w:ascii="Times New Roman" w:cs="Times New Roman" w:eastAsia="Times New Roman" w:hAnsi="Times New Roman"/>
                <w:sz w:val="8"/>
                <w:szCs w:val="8"/>
                <w:color w:val="auto"/>
              </w:rPr>
              <w:t>(483)</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tcPr>
          <w:p>
            <w:pPr>
              <w:jc w:val="center"/>
              <w:ind w:left="518"/>
              <w:spacing w:after="0"/>
              <w:rPr>
                <w:sz w:val="20"/>
                <w:szCs w:val="20"/>
                <w:color w:val="auto"/>
              </w:rPr>
            </w:pPr>
            <w:r>
              <w:rPr>
                <w:rFonts w:ascii="Times New Roman" w:cs="Times New Roman" w:eastAsia="Times New Roman" w:hAnsi="Times New Roman"/>
                <w:sz w:val="8"/>
                <w:szCs w:val="8"/>
                <w:color w:val="auto"/>
                <w:w w:val="99"/>
              </w:rPr>
              <w:t>23</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Pr>
          <w:p>
            <w:pPr>
              <w:jc w:val="center"/>
              <w:ind w:left="358"/>
              <w:spacing w:after="0"/>
              <w:rPr>
                <w:sz w:val="20"/>
                <w:szCs w:val="20"/>
                <w:color w:val="auto"/>
              </w:rPr>
            </w:pPr>
            <w:r>
              <w:rPr>
                <w:rFonts w:ascii="Times New Roman" w:cs="Times New Roman" w:eastAsia="Times New Roman" w:hAnsi="Times New Roman"/>
                <w:sz w:val="8"/>
                <w:szCs w:val="8"/>
                <w:color w:val="auto"/>
              </w:rPr>
              <w:t>(460)</w:t>
            </w: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Net income attributable to Clearway Energy LLC</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351</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80" w:type="dxa"/>
            <w:vAlign w:val="bottom"/>
            <w:shd w:val="clear" w:color="auto" w:fill="CCEEFF"/>
          </w:tcPr>
          <w:p>
            <w:pPr>
              <w:jc w:val="center"/>
              <w:ind w:left="1038"/>
              <w:spacing w:after="0"/>
              <w:rPr>
                <w:sz w:val="20"/>
                <w:szCs w:val="20"/>
                <w:color w:val="auto"/>
              </w:rPr>
            </w:pPr>
            <w:r>
              <w:rPr>
                <w:rFonts w:ascii="Times New Roman" w:cs="Times New Roman" w:eastAsia="Times New Roman" w:hAnsi="Times New Roman"/>
                <w:sz w:val="8"/>
                <w:szCs w:val="8"/>
                <w:color w:val="auto"/>
                <w:w w:val="99"/>
              </w:rPr>
              <w:t>427</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8"/>
                <w:szCs w:val="8"/>
                <w:color w:val="auto"/>
              </w:rPr>
              <w:t>(23)</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shd w:val="clear" w:color="auto" w:fill="CCEEFF"/>
          </w:tcPr>
          <w:p>
            <w:pPr>
              <w:jc w:val="center"/>
              <w:ind w:left="378"/>
              <w:spacing w:after="0"/>
              <w:rPr>
                <w:sz w:val="20"/>
                <w:szCs w:val="20"/>
                <w:color w:val="auto"/>
              </w:rPr>
            </w:pPr>
            <w:r>
              <w:rPr>
                <w:rFonts w:ascii="Times New Roman" w:cs="Times New Roman" w:eastAsia="Times New Roman" w:hAnsi="Times New Roman"/>
                <w:sz w:val="8"/>
                <w:szCs w:val="8"/>
                <w:color w:val="auto"/>
                <w:w w:val="99"/>
              </w:rPr>
              <w:t>404</w:t>
            </w:r>
          </w:p>
        </w:tc>
      </w:tr>
      <w:tr>
        <w:trPr>
          <w:trHeight w:val="118"/>
        </w:trPr>
        <w:tc>
          <w:tcPr>
            <w:tcW w:w="51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 of Comprehensive Income</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Comprehensive loss attributable to noncontrolling interests and redeemable noncontrolling interests</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(322)</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80" w:type="dxa"/>
            <w:vAlign w:val="bottom"/>
            <w:shd w:val="clear" w:color="auto" w:fill="CCEEFF"/>
          </w:tcPr>
          <w:p>
            <w:pPr>
              <w:jc w:val="center"/>
              <w:ind w:left="1018"/>
              <w:spacing w:after="0"/>
              <w:rPr>
                <w:sz w:val="20"/>
                <w:szCs w:val="20"/>
                <w:color w:val="auto"/>
              </w:rPr>
            </w:pPr>
            <w:r>
              <w:rPr>
                <w:rFonts w:ascii="Times New Roman" w:cs="Times New Roman" w:eastAsia="Times New Roman" w:hAnsi="Times New Roman"/>
                <w:sz w:val="8"/>
                <w:szCs w:val="8"/>
                <w:color w:val="auto"/>
              </w:rPr>
              <w:t>(486)</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shd w:val="clear" w:color="auto" w:fill="CCEEFF"/>
          </w:tcPr>
          <w:p>
            <w:pPr>
              <w:jc w:val="center"/>
              <w:ind w:left="518"/>
              <w:spacing w:after="0"/>
              <w:rPr>
                <w:sz w:val="20"/>
                <w:szCs w:val="20"/>
                <w:color w:val="auto"/>
              </w:rPr>
            </w:pPr>
            <w:r>
              <w:rPr>
                <w:rFonts w:ascii="Times New Roman" w:cs="Times New Roman" w:eastAsia="Times New Roman" w:hAnsi="Times New Roman"/>
                <w:sz w:val="8"/>
                <w:szCs w:val="8"/>
                <w:color w:val="auto"/>
                <w:w w:val="99"/>
              </w:rPr>
              <w:t>23</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shd w:val="clear" w:color="auto" w:fill="CCEEFF"/>
          </w:tcPr>
          <w:p>
            <w:pPr>
              <w:jc w:val="center"/>
              <w:ind w:left="358"/>
              <w:spacing w:after="0"/>
              <w:rPr>
                <w:sz w:val="20"/>
                <w:szCs w:val="20"/>
                <w:color w:val="auto"/>
              </w:rPr>
            </w:pPr>
            <w:r>
              <w:rPr>
                <w:rFonts w:ascii="Times New Roman" w:cs="Times New Roman" w:eastAsia="Times New Roman" w:hAnsi="Times New Roman"/>
                <w:sz w:val="8"/>
                <w:szCs w:val="8"/>
                <w:color w:val="auto"/>
              </w:rPr>
              <w:t>(463)</w:t>
            </w: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Comprehensive income attributable to Clearway Energy LLC</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346</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340</w:t>
            </w:r>
          </w:p>
        </w:tc>
        <w:tc>
          <w:tcPr>
            <w:tcW w:w="80" w:type="dxa"/>
            <w:vAlign w:val="bottom"/>
          </w:tcPr>
          <w:p>
            <w:pPr>
              <w:spacing w:after="0"/>
              <w:rPr>
                <w:sz w:val="10"/>
                <w:szCs w:val="10"/>
                <w:color w:val="auto"/>
              </w:rPr>
            </w:pP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80" w:type="dxa"/>
            <w:vAlign w:val="bottom"/>
          </w:tcPr>
          <w:p>
            <w:pPr>
              <w:jc w:val="center"/>
              <w:ind w:left="1038"/>
              <w:spacing w:after="0"/>
              <w:rPr>
                <w:sz w:val="20"/>
                <w:szCs w:val="20"/>
                <w:color w:val="auto"/>
              </w:rPr>
            </w:pPr>
            <w:r>
              <w:rPr>
                <w:rFonts w:ascii="Times New Roman" w:cs="Times New Roman" w:eastAsia="Times New Roman" w:hAnsi="Times New Roman"/>
                <w:sz w:val="8"/>
                <w:szCs w:val="8"/>
                <w:color w:val="auto"/>
                <w:w w:val="99"/>
              </w:rPr>
              <w:t>402</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tcPr>
          <w:p>
            <w:pPr>
              <w:jc w:val="center"/>
              <w:ind w:left="498"/>
              <w:spacing w:after="0"/>
              <w:rPr>
                <w:sz w:val="20"/>
                <w:szCs w:val="20"/>
                <w:color w:val="auto"/>
              </w:rPr>
            </w:pPr>
            <w:r>
              <w:rPr>
                <w:rFonts w:ascii="Times New Roman" w:cs="Times New Roman" w:eastAsia="Times New Roman" w:hAnsi="Times New Roman"/>
                <w:sz w:val="8"/>
                <w:szCs w:val="8"/>
                <w:color w:val="auto"/>
              </w:rPr>
              <w:t>(23)</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Pr>
          <w:p>
            <w:pPr>
              <w:jc w:val="center"/>
              <w:ind w:left="378"/>
              <w:spacing w:after="0"/>
              <w:rPr>
                <w:sz w:val="20"/>
                <w:szCs w:val="20"/>
                <w:color w:val="auto"/>
              </w:rPr>
            </w:pPr>
            <w:r>
              <w:rPr>
                <w:rFonts w:ascii="Times New Roman" w:cs="Times New Roman" w:eastAsia="Times New Roman" w:hAnsi="Times New Roman"/>
                <w:sz w:val="8"/>
                <w:szCs w:val="8"/>
                <w:color w:val="auto"/>
                <w:w w:val="99"/>
              </w:rPr>
              <w:t>379</w:t>
            </w:r>
          </w:p>
        </w:tc>
      </w:tr>
      <w:tr>
        <w:trPr>
          <w:trHeight w:val="13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Balance Sheet (As of September 30, 2025)</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Redeemable noncontrolling interest in subsidiaries</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Retained earnings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1,039</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Noncontrolling interest</w:t>
            </w:r>
          </w:p>
        </w:tc>
        <w:tc>
          <w:tcPr>
            <w:tcW w:w="1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4,156</w:t>
            </w:r>
          </w:p>
        </w:tc>
        <w:tc>
          <w:tcPr>
            <w:tcW w:w="1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4,149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Total Members’ Equity</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5,697</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5,667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Consolidated Statements of Members’ Equity</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b w:val="1"/>
                <w:bCs w:val="1"/>
                <w:color w:val="auto"/>
              </w:rPr>
              <w:t>Retained Earnings: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Net income</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351</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Retained Earnings at September 30, 2025</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1,039</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18"/>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Noncontrolling Interest:</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Net loss</w:t>
            </w:r>
          </w:p>
        </w:tc>
        <w:tc>
          <w:tcPr>
            <w:tcW w:w="1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(137)</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09"/>
        </w:trPr>
        <w:tc>
          <w:tcPr>
            <w:tcW w:w="51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Noncontrolling Interest at September 30, 2025</w:t>
            </w:r>
          </w:p>
        </w:tc>
        <w:tc>
          <w:tcPr>
            <w:tcW w:w="1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4,156</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4,149</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tc>
      </w:tr>
      <w:tr>
        <w:trPr>
          <w:trHeight w:val="297"/>
        </w:trPr>
        <w:tc>
          <w:tcPr>
            <w:tcW w:w="3800" w:type="dxa"/>
            <w:vAlign w:val="bottom"/>
          </w:tcPr>
          <w:p>
            <w:pPr>
              <w:spacing w:after="0"/>
              <w:rPr>
                <w:sz w:val="24"/>
                <w:szCs w:val="24"/>
                <w:color w:val="auto"/>
              </w:rPr>
            </w:pPr>
          </w:p>
        </w:tc>
        <w:tc>
          <w:tcPr>
            <w:tcW w:w="3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 (Parent)</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4"/>
        </w:trPr>
        <w:tc>
          <w:tcPr>
            <w:tcW w:w="3800" w:type="dxa"/>
            <w:vAlign w:val="bottom"/>
          </w:tcPr>
          <w:p>
            <w:pPr>
              <w:spacing w:after="0"/>
              <w:rPr>
                <w:sz w:val="21"/>
                <w:szCs w:val="21"/>
                <w:color w:val="auto"/>
              </w:rPr>
            </w:pPr>
          </w:p>
        </w:tc>
        <w:tc>
          <w:tcPr>
            <w:tcW w:w="3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Condensed Financial Statements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3"/>
        </w:trPr>
        <w:tc>
          <w:tcPr>
            <w:tcW w:w="3800" w:type="dxa"/>
            <w:vAlign w:val="bottom"/>
          </w:tcPr>
          <w:p>
            <w:pPr>
              <w:spacing w:after="0"/>
              <w:rPr>
                <w:sz w:val="20"/>
                <w:szCs w:val="20"/>
                <w:color w:val="auto"/>
              </w:rPr>
            </w:pPr>
          </w:p>
        </w:tc>
        <w:tc>
          <w:tcPr>
            <w:tcW w:w="3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Operations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6"/>
        </w:trPr>
        <w:tc>
          <w:tcPr>
            <w:tcW w:w="38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154"/>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 earnings of consolidated subsidiaries</w:t>
            </w:r>
          </w:p>
        </w:tc>
        <w:tc>
          <w:tcPr>
            <w:tcW w:w="33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80"/>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33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1"/>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income</w:t>
            </w:r>
          </w:p>
        </w:tc>
        <w:tc>
          <w:tcPr>
            <w:tcW w:w="33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7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LLC</w:t>
            </w:r>
          </w:p>
        </w:tc>
        <w:tc>
          <w:tcPr>
            <w:tcW w:w="334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0"/>
        </w:trPr>
        <w:tc>
          <w:tcPr>
            <w:tcW w:w="3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tc>
      </w:tr>
      <w:tr>
        <w:trPr>
          <w:trHeight w:val="297"/>
        </w:trPr>
        <w:tc>
          <w:tcPr>
            <w:tcW w:w="840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Clearway Energy LLC (Parent)</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4"/>
        </w:trPr>
        <w:tc>
          <w:tcPr>
            <w:tcW w:w="8400" w:type="dxa"/>
            <w:vAlign w:val="bottom"/>
          </w:tcPr>
          <w:p>
            <w:pPr>
              <w:ind w:left="4820"/>
              <w:spacing w:after="0"/>
              <w:rPr>
                <w:sz w:val="20"/>
                <w:szCs w:val="20"/>
                <w:color w:val="auto"/>
              </w:rPr>
            </w:pPr>
            <w:r>
              <w:rPr>
                <w:rFonts w:ascii="Times New Roman" w:cs="Times New Roman" w:eastAsia="Times New Roman" w:hAnsi="Times New Roman"/>
                <w:sz w:val="14"/>
                <w:szCs w:val="14"/>
                <w:b w:val="1"/>
                <w:bCs w:val="1"/>
                <w:color w:val="auto"/>
              </w:rPr>
              <w:t>Condensed Balance Sheets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5"/>
        </w:trPr>
        <w:tc>
          <w:tcPr>
            <w:tcW w:w="8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00" w:type="dxa"/>
            <w:vAlign w:val="bottom"/>
          </w:tcPr>
          <w:p>
            <w:pPr>
              <w:spacing w:after="0"/>
              <w:rPr>
                <w:sz w:val="19"/>
                <w:szCs w:val="19"/>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69"/>
        </w:trPr>
        <w:tc>
          <w:tcPr>
            <w:tcW w:w="8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4"/>
        </w:trPr>
        <w:tc>
          <w:tcPr>
            <w:tcW w:w="8400" w:type="dxa"/>
            <w:vAlign w:val="bottom"/>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4"/>
                <w:szCs w:val="14"/>
                <w:color w:val="auto"/>
              </w:rPr>
            </w:pPr>
          </w:p>
        </w:tc>
        <w:tc>
          <w:tcPr>
            <w:tcW w:w="1540" w:type="dxa"/>
            <w:vAlign w:val="bottom"/>
            <w:gridSpan w:val="3"/>
          </w:tcPr>
          <w:p>
            <w:pPr>
              <w:ind w:left="9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4"/>
                <w:szCs w:val="14"/>
                <w:color w:val="auto"/>
              </w:rPr>
            </w:pPr>
          </w:p>
        </w:tc>
      </w:tr>
      <w:tr>
        <w:trPr>
          <w:trHeight w:val="186"/>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1"/>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80"/>
        </w:trPr>
        <w:tc>
          <w:tcPr>
            <w:tcW w:w="8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 affiliates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Investment in consolidated subsidiaries</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r>
      <w:tr>
        <w:trPr>
          <w:trHeight w:val="171"/>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2"/>
        </w:trPr>
        <w:tc>
          <w:tcPr>
            <w:tcW w:w="8400" w:type="dxa"/>
            <w:vAlign w:val="bottom"/>
            <w:shd w:val="clear" w:color="auto" w:fill="CCEEFF"/>
          </w:tcPr>
          <w:p>
            <w:pPr>
              <w:ind w:left="290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MEMBERS’ EQUITY</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 — affiliates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Contributed capital</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w w:val="94"/>
              </w:rPr>
              <w:t>(10)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Members’ Equity</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196"/>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w w:val="95"/>
              </w:rPr>
              <w:t>Schedule I</w:t>
            </w:r>
          </w:p>
        </w:tc>
      </w:tr>
      <w:tr>
        <w:trPr>
          <w:trHeight w:val="297"/>
        </w:trPr>
        <w:tc>
          <w:tcPr>
            <w:tcW w:w="75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Clearway Energy LLC (Parent)</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4"/>
        </w:trPr>
        <w:tc>
          <w:tcPr>
            <w:tcW w:w="7520" w:type="dxa"/>
            <w:vAlign w:val="bottom"/>
          </w:tcPr>
          <w:p>
            <w:pPr>
              <w:ind w:left="4440"/>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5"/>
        </w:trPr>
        <w:tc>
          <w:tcPr>
            <w:tcW w:w="75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54"/>
        </w:trPr>
        <w:tc>
          <w:tcPr>
            <w:tcW w:w="75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r>
      <w:tr>
        <w:trPr>
          <w:trHeight w:val="150"/>
        </w:trPr>
        <w:tc>
          <w:tcPr>
            <w:tcW w:w="7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740" w:type="dxa"/>
            <w:vAlign w:val="bottom"/>
          </w:tcPr>
          <w:p>
            <w:pPr>
              <w:jc w:val="right"/>
              <w:ind w:right="59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r>
      <w:tr>
        <w:trPr>
          <w:trHeight w:val="18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Investments in consolidated affiliates</w:t>
            </w: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5"/>
                <w:szCs w:val="15"/>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4"/>
                <w:szCs w:val="14"/>
                <w:color w:val="auto"/>
              </w:rPr>
            </w:pPr>
          </w:p>
        </w:tc>
      </w:tr>
      <w:tr>
        <w:trPr>
          <w:trHeight w:val="18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(Transfer) receipt of funds under intercompany cash management arrangement</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r>
      <w:tr>
        <w:trPr>
          <w:trHeight w:val="180"/>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Class C units</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r>
      <w:tr>
        <w:trPr>
          <w:trHeight w:val="18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Tax-related distributions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r>
      <w:tr>
        <w:trPr>
          <w:trHeight w:val="180"/>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Payments of distributions</w:t>
            </w: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5"/>
                <w:szCs w:val="15"/>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4"/>
                <w:szCs w:val="14"/>
                <w:color w:val="auto"/>
              </w:rPr>
            </w:pPr>
          </w:p>
        </w:tc>
      </w:tr>
      <w:tr>
        <w:trPr>
          <w:trHeight w:val="18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5"/>
                <w:szCs w:val="15"/>
                <w:color w:val="auto"/>
              </w:rPr>
            </w:pPr>
          </w:p>
        </w:tc>
      </w:tr>
      <w:tr>
        <w:trPr>
          <w:trHeight w:val="18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7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5"/>
                <w:szCs w:val="15"/>
                <w:color w:val="auto"/>
              </w:rPr>
            </w:pPr>
          </w:p>
        </w:tc>
      </w:tr>
      <w:tr>
        <w:trPr>
          <w:trHeight w:val="17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7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4"/>
                <w:szCs w:val="14"/>
                <w:color w:val="auto"/>
              </w:rPr>
            </w:pPr>
          </w:p>
        </w:tc>
      </w:tr>
      <w:tr>
        <w:trPr>
          <w:trHeight w:val="20"/>
        </w:trPr>
        <w:tc>
          <w:tcPr>
            <w:tcW w:w="7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55880</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80" w:top="727"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 (Parent)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Background and Basis of Presentation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unit holders with stable and growing distributions.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 From time to time, CEG may also hold shares of Clearway, Inc.’s Class A and/or Class C common stock.</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2025, Clearway, Inc. owned 58.62% of the economic interests of the Company, with CEG owning 41.38% of the economic interests of the Company. For further discussion, see Note 11, </w:t>
      </w:r>
      <w:r>
        <w:rPr>
          <w:rFonts w:ascii="Times New Roman" w:cs="Times New Roman" w:eastAsia="Times New Roman" w:hAnsi="Times New Roman"/>
          <w:sz w:val="14"/>
          <w:szCs w:val="14"/>
          <w:i w:val="1"/>
          <w:iCs w:val="1"/>
          <w:color w:val="auto"/>
        </w:rPr>
        <w:t>Members’ Equity.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condensed parent-only company financial statements have been prepared in accordance with Rule 12-04 of Regulation S-X, as the restricted net assets of Clearway Energy LLC’s subsidiaries exceed 25% of the consolidated net assets of Clearway Energy LLC.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LLC.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Long-Term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For a discussion of Clearway Energy LLC’s financing arrangements,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Company’s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Contingencies and Guarantees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14,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xml:space="preserve"> to the Company’s consolidated financial statements for a detailed discussion of Clearway Energy LLC’s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Distributions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distributions paid on the Company’s Class A, Class B, Class C and Class D units, were $358 million, $334 million, and $311 million for the years ended December 31, 2025, 2024, and 2023,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60" w:type="dxa"/>
            <w:vAlign w:val="bottom"/>
            <w:gridSpan w:val="14"/>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00" w:type="dxa"/>
            <w:vAlign w:val="bottom"/>
            <w:gridSpan w:val="2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3.1</w:t>
            </w:r>
          </w:p>
        </w:tc>
        <w:tc>
          <w:tcPr>
            <w:tcW w:w="2840" w:type="dxa"/>
            <w:vAlign w:val="bottom"/>
            <w:tcBorders>
              <w:bottom w:val="single" w:sz="8" w:color="0000FF"/>
            </w:tcBorders>
            <w:gridSpan w:val="6"/>
          </w:tcPr>
          <w:p>
            <w:pPr>
              <w:spacing w:after="0" w:line="143" w:lineRule="exact"/>
              <w:rPr>
                <w:rFonts w:ascii="Times New Roman" w:cs="Times New Roman" w:eastAsia="Times New Roman" w:hAnsi="Times New Roman"/>
                <w:sz w:val="13"/>
                <w:szCs w:val="13"/>
                <w:color w:val="0000FF"/>
                <w:w w:val="97"/>
              </w:rPr>
            </w:pPr>
            <w:hyperlink r:id="rId244">
              <w:r>
                <w:rPr>
                  <w:rFonts w:ascii="Times New Roman" w:cs="Times New Roman" w:eastAsia="Times New Roman" w:hAnsi="Times New Roman"/>
                  <w:sz w:val="13"/>
                  <w:szCs w:val="13"/>
                  <w:color w:val="0000FF"/>
                  <w:w w:val="97"/>
                </w:rPr>
                <w:t>Certificate of Formation of NRG Yield Operating LLC.</w:t>
              </w:r>
            </w:hyperlink>
          </w:p>
        </w:tc>
        <w:tc>
          <w:tcPr>
            <w:tcW w:w="316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6000" w:type="dxa"/>
            <w:vAlign w:val="bottom"/>
            <w:gridSpan w:val="23"/>
            <w:vMerge w:val="restart"/>
          </w:tcPr>
          <w:p>
            <w:pPr>
              <w:spacing w:after="0"/>
              <w:rPr>
                <w:rFonts w:ascii="Times New Roman" w:cs="Times New Roman" w:eastAsia="Times New Roman" w:hAnsi="Times New Roman"/>
                <w:sz w:val="13"/>
                <w:szCs w:val="13"/>
                <w:color w:val="0000FF"/>
              </w:rPr>
            </w:pPr>
            <w:hyperlink r:id="rId245">
              <w:r>
                <w:rPr>
                  <w:rFonts w:ascii="Times New Roman" w:cs="Times New Roman" w:eastAsia="Times New Roman" w:hAnsi="Times New Roman"/>
                  <w:sz w:val="13"/>
                  <w:szCs w:val="13"/>
                  <w:color w:val="0000FF"/>
                </w:rPr>
                <w:t>Certificate of Amendment of Certificate of Formation of NRG Yield Operating LLC.</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0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3.3</w:t>
            </w:r>
          </w:p>
        </w:tc>
        <w:tc>
          <w:tcPr>
            <w:tcW w:w="5440" w:type="dxa"/>
            <w:vAlign w:val="bottom"/>
            <w:tcBorders>
              <w:bottom w:val="single" w:sz="8" w:color="0000FF"/>
            </w:tcBorders>
            <w:gridSpan w:val="11"/>
          </w:tcPr>
          <w:p>
            <w:pPr>
              <w:spacing w:after="0"/>
              <w:rPr>
                <w:rFonts w:ascii="Times New Roman" w:cs="Times New Roman" w:eastAsia="Times New Roman" w:hAnsi="Times New Roman"/>
                <w:sz w:val="13"/>
                <w:szCs w:val="13"/>
                <w:color w:val="0000FF"/>
                <w:w w:val="97"/>
              </w:rPr>
            </w:pPr>
            <w:hyperlink r:id="rId246">
              <w:r>
                <w:rPr>
                  <w:rFonts w:ascii="Times New Roman" w:cs="Times New Roman" w:eastAsia="Times New Roman" w:hAnsi="Times New Roman"/>
                  <w:sz w:val="13"/>
                  <w:szCs w:val="13"/>
                  <w:color w:val="0000FF"/>
                  <w:w w:val="97"/>
                </w:rPr>
                <w:t>Third Amended and Restated Limited Liability Company Agreement of Clearway Energy Operating LLC.</w:t>
              </w:r>
            </w:hyperlink>
          </w:p>
        </w:tc>
        <w:tc>
          <w:tcPr>
            <w:tcW w:w="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3.4</w:t>
            </w:r>
          </w:p>
        </w:tc>
        <w:tc>
          <w:tcPr>
            <w:tcW w:w="2300" w:type="dxa"/>
            <w:vAlign w:val="bottom"/>
            <w:tcBorders>
              <w:bottom w:val="single" w:sz="8" w:color="0000FF"/>
            </w:tcBorders>
            <w:gridSpan w:val="4"/>
          </w:tcPr>
          <w:p>
            <w:pPr>
              <w:spacing w:after="0"/>
              <w:rPr>
                <w:rFonts w:ascii="Times New Roman" w:cs="Times New Roman" w:eastAsia="Times New Roman" w:hAnsi="Times New Roman"/>
                <w:sz w:val="13"/>
                <w:szCs w:val="13"/>
                <w:color w:val="0000FF"/>
                <w:w w:val="97"/>
              </w:rPr>
            </w:pPr>
            <w:hyperlink r:id="rId247">
              <w:r>
                <w:rPr>
                  <w:rFonts w:ascii="Times New Roman" w:cs="Times New Roman" w:eastAsia="Times New Roman" w:hAnsi="Times New Roman"/>
                  <w:sz w:val="13"/>
                  <w:szCs w:val="13"/>
                  <w:color w:val="0000FF"/>
                  <w:w w:val="97"/>
                </w:rPr>
                <w:t>Certificate of Formation of NRG Yield LLC.</w:t>
              </w:r>
            </w:hyperlink>
          </w:p>
        </w:tc>
        <w:tc>
          <w:tcPr>
            <w:tcW w:w="37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3.5</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48">
              <w:r>
                <w:rPr>
                  <w:rFonts w:ascii="Times New Roman" w:cs="Times New Roman" w:eastAsia="Times New Roman" w:hAnsi="Times New Roman"/>
                  <w:sz w:val="13"/>
                  <w:szCs w:val="13"/>
                  <w:color w:val="0000FF"/>
                </w:rPr>
                <w:t>Certificate of Amendment of Certificate of Formation of NRG Yield LLC.</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3.6</w:t>
            </w: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1000" w:type="dxa"/>
            <w:vAlign w:val="bottom"/>
            <w:vMerge w:val="continue"/>
          </w:tcPr>
          <w:p>
            <w:pPr>
              <w:spacing w:after="0"/>
              <w:rPr>
                <w:sz w:val="24"/>
                <w:szCs w:val="24"/>
                <w:color w:val="auto"/>
              </w:rPr>
            </w:pPr>
          </w:p>
        </w:tc>
        <w:tc>
          <w:tcPr>
            <w:tcW w:w="6000" w:type="dxa"/>
            <w:vAlign w:val="bottom"/>
            <w:gridSpan w:val="23"/>
            <w:vMerge w:val="restart"/>
          </w:tcPr>
          <w:p>
            <w:pPr>
              <w:spacing w:after="0"/>
              <w:rPr>
                <w:rFonts w:ascii="Times New Roman" w:cs="Times New Roman" w:eastAsia="Times New Roman" w:hAnsi="Times New Roman"/>
                <w:sz w:val="13"/>
                <w:szCs w:val="13"/>
                <w:color w:val="0000FF"/>
              </w:rPr>
            </w:pPr>
            <w:hyperlink r:id="rId249">
              <w:r>
                <w:rPr>
                  <w:rFonts w:ascii="Times New Roman" w:cs="Times New Roman" w:eastAsia="Times New Roman" w:hAnsi="Times New Roman"/>
                  <w:sz w:val="13"/>
                  <w:szCs w:val="13"/>
                  <w:color w:val="0000FF"/>
                </w:rPr>
                <w:t>Fourth Amended and Restated Limited Liability Company Agreement of NRG Yield LLC, dated as of August</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0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31, 2018, by and between NRG Yield, Inc. and Zephyr Renewables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4.1</w:t>
            </w: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6000" w:type="dxa"/>
            <w:vAlign w:val="bottom"/>
            <w:gridSpan w:val="23"/>
            <w:vMerge w:val="restart"/>
          </w:tcPr>
          <w:p>
            <w:pPr>
              <w:spacing w:after="0"/>
              <w:rPr>
                <w:rFonts w:ascii="Times New Roman" w:cs="Times New Roman" w:eastAsia="Times New Roman" w:hAnsi="Times New Roman"/>
                <w:sz w:val="13"/>
                <w:szCs w:val="13"/>
                <w:color w:val="0000FF"/>
              </w:rPr>
            </w:pPr>
            <w:hyperlink r:id="rId250">
              <w:r>
                <w:rPr>
                  <w:rFonts w:ascii="Times New Roman" w:cs="Times New Roman" w:eastAsia="Times New Roman" w:hAnsi="Times New Roman"/>
                  <w:sz w:val="13"/>
                  <w:szCs w:val="13"/>
                  <w:color w:val="0000FF"/>
                </w:rPr>
                <w:t>Indenture, dated December 11, 2019, among Clearway Energy Operating LLC, the guarantors named therein and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0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50">
              <w:r>
                <w:rPr>
                  <w:rFonts w:ascii="Times New Roman" w:cs="Times New Roman" w:eastAsia="Times New Roman" w:hAnsi="Times New Roman"/>
                  <w:sz w:val="12"/>
                  <w:szCs w:val="12"/>
                  <w:color w:val="0000FF"/>
                </w:rPr>
                <w:t>Delaware Trust Company, as trustee.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4.2</w:t>
            </w:r>
          </w:p>
        </w:tc>
        <w:tc>
          <w:tcPr>
            <w:tcW w:w="1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6000" w:type="dxa"/>
            <w:vAlign w:val="bottom"/>
            <w:gridSpan w:val="23"/>
            <w:vMerge w:val="restart"/>
          </w:tcPr>
          <w:p>
            <w:pPr>
              <w:spacing w:after="0"/>
              <w:rPr>
                <w:rFonts w:ascii="Times New Roman" w:cs="Times New Roman" w:eastAsia="Times New Roman" w:hAnsi="Times New Roman"/>
                <w:sz w:val="13"/>
                <w:szCs w:val="13"/>
                <w:color w:val="0000FF"/>
              </w:rPr>
            </w:pPr>
            <w:hyperlink r:id="rId250">
              <w:r>
                <w:rPr>
                  <w:rFonts w:ascii="Times New Roman" w:cs="Times New Roman" w:eastAsia="Times New Roman" w:hAnsi="Times New Roman"/>
                  <w:sz w:val="13"/>
                  <w:szCs w:val="13"/>
                  <w:color w:val="0000FF"/>
                </w:rPr>
                <w:t>Form of 4.750% Senior Note due 2028.</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0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51">
              <w:r>
                <w:rPr>
                  <w:rFonts w:ascii="Times New Roman" w:cs="Times New Roman" w:eastAsia="Times New Roman" w:hAnsi="Times New Roman"/>
                  <w:sz w:val="13"/>
                  <w:szCs w:val="13"/>
                  <w:color w:val="0000FF"/>
                </w:rPr>
                <w:t>First Supplemental Indenture, dated as of January 6,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guarantors named therein and Delaware Trust Company.</w:t>
              </w:r>
            </w:hyperlink>
          </w:p>
        </w:tc>
        <w:tc>
          <w:tcPr>
            <w:tcW w:w="29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52">
              <w:r>
                <w:rPr>
                  <w:rFonts w:ascii="Times New Roman" w:cs="Times New Roman" w:eastAsia="Times New Roman" w:hAnsi="Times New Roman"/>
                  <w:sz w:val="13"/>
                  <w:szCs w:val="13"/>
                  <w:color w:val="0000FF"/>
                </w:rPr>
                <w:t>Second Supplemental Indenture, dated as of February 26,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52">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53">
              <w:r>
                <w:rPr>
                  <w:rFonts w:ascii="Times New Roman" w:cs="Times New Roman" w:eastAsia="Times New Roman" w:hAnsi="Times New Roman"/>
                  <w:sz w:val="13"/>
                  <w:szCs w:val="13"/>
                  <w:color w:val="0000FF"/>
                </w:rPr>
                <w:t>Third Supplemental Indenture, dated as of July 17,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3">
              <w:r>
                <w:rPr>
                  <w:rFonts w:ascii="Times New Roman" w:cs="Times New Roman" w:eastAsia="Times New Roman" w:hAnsi="Times New Roman"/>
                  <w:sz w:val="12"/>
                  <w:szCs w:val="12"/>
                  <w:color w:val="0000FF"/>
                </w:rPr>
                <w:t>guarantors named therein and Delaware Trust Company.</w:t>
              </w:r>
            </w:hyperlink>
          </w:p>
        </w:tc>
        <w:tc>
          <w:tcPr>
            <w:tcW w:w="298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4.6</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Fourth Supplemental Indenture, dated as of August 17,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4">
              <w:r>
                <w:rPr>
                  <w:rFonts w:ascii="Times New Roman" w:cs="Times New Roman" w:eastAsia="Times New Roman" w:hAnsi="Times New Roman"/>
                  <w:sz w:val="12"/>
                  <w:szCs w:val="12"/>
                  <w:color w:val="0000FF"/>
                </w:rPr>
                <w:t>guarantors named therein and Delaware Trust Company.</w:t>
              </w:r>
            </w:hyperlink>
          </w:p>
        </w:tc>
        <w:tc>
          <w:tcPr>
            <w:tcW w:w="3000" w:type="dxa"/>
            <w:vAlign w:val="bottom"/>
            <w:tcBorders>
              <w:top w:val="single" w:sz="8" w:color="0000FF"/>
            </w:tcBorders>
            <w:gridSpan w:val="10"/>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4.7</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55">
              <w:r>
                <w:rPr>
                  <w:rFonts w:ascii="Times New Roman" w:cs="Times New Roman" w:eastAsia="Times New Roman" w:hAnsi="Times New Roman"/>
                  <w:sz w:val="13"/>
                  <w:szCs w:val="13"/>
                  <w:color w:val="0000FF"/>
                </w:rPr>
                <w:t>Fifth Supplemental Indenture, dated as of November 18,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4.8</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56">
              <w:r>
                <w:rPr>
                  <w:rFonts w:ascii="Times New Roman" w:cs="Times New Roman" w:eastAsia="Times New Roman" w:hAnsi="Times New Roman"/>
                  <w:sz w:val="13"/>
                  <w:szCs w:val="13"/>
                  <w:color w:val="0000FF"/>
                </w:rPr>
                <w:t>Sixth Supplemental Indenture, dated as of December 1,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6">
              <w:r>
                <w:rPr>
                  <w:rFonts w:ascii="Times New Roman" w:cs="Times New Roman" w:eastAsia="Times New Roman" w:hAnsi="Times New Roman"/>
                  <w:sz w:val="12"/>
                  <w:szCs w:val="12"/>
                  <w:color w:val="0000FF"/>
                </w:rPr>
                <w:t>guarantors named therein and Delaware Trust Company.</w:t>
              </w:r>
            </w:hyperlink>
          </w:p>
        </w:tc>
        <w:tc>
          <w:tcPr>
            <w:tcW w:w="2960" w:type="dxa"/>
            <w:vAlign w:val="bottom"/>
            <w:tcBorders>
              <w:top w:val="single" w:sz="8" w:color="0000FF"/>
            </w:tcBorders>
            <w:gridSpan w:val="8"/>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4.9</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57">
              <w:r>
                <w:rPr>
                  <w:rFonts w:ascii="Times New Roman" w:cs="Times New Roman" w:eastAsia="Times New Roman" w:hAnsi="Times New Roman"/>
                  <w:sz w:val="13"/>
                  <w:szCs w:val="13"/>
                  <w:color w:val="0000FF"/>
                </w:rPr>
                <w:t>Seventh Supplemental Indenture, dated as of December 23,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guarantors named therein and Delaware Trust Company.</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4.10</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58">
              <w:r>
                <w:rPr>
                  <w:rFonts w:ascii="Times New Roman" w:cs="Times New Roman" w:eastAsia="Times New Roman" w:hAnsi="Times New Roman"/>
                  <w:sz w:val="13"/>
                  <w:szCs w:val="13"/>
                  <w:color w:val="0000FF"/>
                </w:rPr>
                <w:t>Eighth Supplemental Indenture, dated as of February 3,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8">
              <w:r>
                <w:rPr>
                  <w:rFonts w:ascii="Times New Roman" w:cs="Times New Roman" w:eastAsia="Times New Roman" w:hAnsi="Times New Roman"/>
                  <w:sz w:val="12"/>
                  <w:szCs w:val="12"/>
                  <w:color w:val="0000FF"/>
                </w:rPr>
                <w:t>guarantors named therein and Delaware Trust Company.</w:t>
              </w:r>
            </w:hyperlink>
          </w:p>
        </w:tc>
        <w:tc>
          <w:tcPr>
            <w:tcW w:w="29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4.11</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59">
              <w:r>
                <w:rPr>
                  <w:rFonts w:ascii="Times New Roman" w:cs="Times New Roman" w:eastAsia="Times New Roman" w:hAnsi="Times New Roman"/>
                  <w:sz w:val="13"/>
                  <w:szCs w:val="13"/>
                  <w:color w:val="0000FF"/>
                </w:rPr>
                <w:t>Indenture, dated March 9, 2021, among Clearway Energy Operating LLC, the guarantors named therein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Delaware Trust Company, as trustee.</w:t>
              </w:r>
            </w:hyperlink>
          </w:p>
        </w:tc>
        <w:tc>
          <w:tcPr>
            <w:tcW w:w="10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4.12</w:t>
            </w:r>
          </w:p>
        </w:tc>
        <w:tc>
          <w:tcPr>
            <w:tcW w:w="208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7"/>
              </w:rPr>
            </w:pPr>
            <w:hyperlink r:id="rId259">
              <w:r>
                <w:rPr>
                  <w:rFonts w:ascii="Times New Roman" w:cs="Times New Roman" w:eastAsia="Times New Roman" w:hAnsi="Times New Roman"/>
                  <w:sz w:val="13"/>
                  <w:szCs w:val="13"/>
                  <w:color w:val="0000FF"/>
                  <w:w w:val="97"/>
                </w:rPr>
                <w:t>Form of 3.750% Senior Notes due 2031.</w:t>
              </w:r>
            </w:hyperlink>
          </w:p>
        </w:tc>
        <w:tc>
          <w:tcPr>
            <w:tcW w:w="392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4.13</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60">
              <w:r>
                <w:rPr>
                  <w:rFonts w:ascii="Times New Roman" w:cs="Times New Roman" w:eastAsia="Times New Roman" w:hAnsi="Times New Roman"/>
                  <w:sz w:val="13"/>
                  <w:szCs w:val="13"/>
                  <w:color w:val="0000FF"/>
                </w:rPr>
                <w:t>Ninth Supplemental Indenture, dated as of May 14,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60">
              <w:r>
                <w:rPr>
                  <w:rFonts w:ascii="Times New Roman" w:cs="Times New Roman" w:eastAsia="Times New Roman" w:hAnsi="Times New Roman"/>
                  <w:sz w:val="12"/>
                  <w:szCs w:val="12"/>
                  <w:color w:val="0000FF"/>
                </w:rPr>
                <w:t>guarantors named therein and Delaware Trust Company.</w:t>
              </w:r>
            </w:hyperlink>
          </w:p>
        </w:tc>
        <w:tc>
          <w:tcPr>
            <w:tcW w:w="120" w:type="dxa"/>
            <w:vAlign w:val="bottom"/>
            <w:gridSpan w:val="6"/>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4.14</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61">
              <w:r>
                <w:rPr>
                  <w:rFonts w:ascii="Times New Roman" w:cs="Times New Roman" w:eastAsia="Times New Roman" w:hAnsi="Times New Roman"/>
                  <w:sz w:val="13"/>
                  <w:szCs w:val="13"/>
                  <w:color w:val="0000FF"/>
                </w:rPr>
                <w:t>First Supplemental Indenture, dated as of May 14, 2021, among Clearway Energy Operating LLC, the guarantors</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32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61">
              <w:r>
                <w:rPr>
                  <w:rFonts w:ascii="Times New Roman" w:cs="Times New Roman" w:eastAsia="Times New Roman" w:hAnsi="Times New Roman"/>
                  <w:sz w:val="12"/>
                  <w:szCs w:val="12"/>
                  <w:color w:val="0000FF"/>
                </w:rPr>
                <w:t>named therein and Delaware Trust Company.</w:t>
              </w:r>
            </w:hyperlink>
          </w:p>
        </w:tc>
        <w:tc>
          <w:tcPr>
            <w:tcW w:w="3540" w:type="dxa"/>
            <w:vAlign w:val="bottom"/>
            <w:tcBorders>
              <w:top w:val="single" w:sz="8" w:color="0000FF"/>
            </w:tcBorders>
            <w:gridSpan w:val="11"/>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4.15</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62">
              <w:r>
                <w:rPr>
                  <w:rFonts w:ascii="Times New Roman" w:cs="Times New Roman" w:eastAsia="Times New Roman" w:hAnsi="Times New Roman"/>
                  <w:sz w:val="13"/>
                  <w:szCs w:val="13"/>
                  <w:color w:val="0000FF"/>
                </w:rPr>
                <w:t>Indenture, dated October 1, 2021, among Clearway Energy Operating LLC, the guarantors named therein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62">
              <w:r>
                <w:rPr>
                  <w:rFonts w:ascii="Times New Roman" w:cs="Times New Roman" w:eastAsia="Times New Roman" w:hAnsi="Times New Roman"/>
                  <w:sz w:val="12"/>
                  <w:szCs w:val="12"/>
                  <w:color w:val="0000FF"/>
                </w:rPr>
                <w:t>Delaware Trust Company, as trustee.</w:t>
              </w:r>
            </w:hyperlink>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3.01(a) to the Company’s Registration Statement on Form S-4 filed on April 13, 2015.</w:t>
      </w:r>
    </w:p>
    <w:p>
      <w:pPr>
        <w:spacing w:after="0" w:line="7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3.01(b) to the Company’s Registration Statement on Form S-4 filed on April 13, 2015.</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3.3. to the Company’s Annual Report on Form 10-K filed on February 28,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3.03(a) to the Company’s Registration Statement on Form S-4 filed on April 13, 2015.</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3.03(b) to the Company’s Registration Statement on Form S-4 filed on April 13, 2015.</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10.6 to Clearway Energy, Inc.’s Current Report on Form 8-K filed on September 5, 2018.</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December 12,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December 12, 2019.</w:t>
      </w:r>
    </w:p>
    <w:p>
      <w:pPr>
        <w:spacing w:after="0" w:line="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January 8,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March 3,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July 21,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August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November 19,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December 4,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December 29,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February 5,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March 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March 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May 19,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May 19,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October 1, 2021.</w:t>
      </w:r>
    </w:p>
    <w:p>
      <w:pPr>
        <w:spacing w:after="0" w:line="200" w:lineRule="exact"/>
        <w:rPr>
          <w:sz w:val="20"/>
          <w:szCs w:val="20"/>
          <w:color w:val="auto"/>
        </w:rPr>
      </w:pPr>
    </w:p>
    <w:p>
      <w:pPr>
        <w:sectPr>
          <w:pgSz w:w="11900" w:h="16838" w:orient="portrait"/>
          <w:cols w:equalWidth="0" w:num="2">
            <w:col w:w="6780" w:space="120"/>
            <w:col w:w="4300"/>
          </w:cols>
          <w:pgMar w:left="340" w:top="728" w:right="3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28" w:right="359"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4.16</w:t>
            </w:r>
          </w:p>
        </w:tc>
        <w:tc>
          <w:tcPr>
            <w:tcW w:w="2080" w:type="dxa"/>
            <w:vAlign w:val="bottom"/>
            <w:tcBorders>
              <w:bottom w:val="single" w:sz="8" w:color="0000FF"/>
            </w:tcBorders>
          </w:tcPr>
          <w:p>
            <w:pPr>
              <w:spacing w:after="0" w:line="143" w:lineRule="exact"/>
              <w:rPr>
                <w:rFonts w:ascii="Times New Roman" w:cs="Times New Roman" w:eastAsia="Times New Roman" w:hAnsi="Times New Roman"/>
                <w:sz w:val="13"/>
                <w:szCs w:val="13"/>
                <w:color w:val="0000FF"/>
                <w:w w:val="97"/>
              </w:rPr>
            </w:pPr>
            <w:hyperlink r:id="rId262">
              <w:r>
                <w:rPr>
                  <w:rFonts w:ascii="Times New Roman" w:cs="Times New Roman" w:eastAsia="Times New Roman" w:hAnsi="Times New Roman"/>
                  <w:sz w:val="13"/>
                  <w:szCs w:val="13"/>
                  <w:color w:val="0000FF"/>
                  <w:w w:val="97"/>
                </w:rPr>
                <w:t>Form of 3.750% Senior Notes due 2032.</w:t>
              </w:r>
            </w:hyperlink>
          </w:p>
        </w:tc>
        <w:tc>
          <w:tcPr>
            <w:tcW w:w="3880" w:type="dxa"/>
            <w:vAlign w:val="bottom"/>
            <w:gridSpan w:val="13"/>
          </w:tcPr>
          <w:p>
            <w:pPr>
              <w:spacing w:after="0"/>
              <w:rPr>
                <w:sz w:val="12"/>
                <w:szCs w:val="12"/>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4.17</w:t>
            </w:r>
          </w:p>
        </w:tc>
        <w:tc>
          <w:tcPr>
            <w:tcW w:w="5960" w:type="dxa"/>
            <w:vAlign w:val="bottom"/>
            <w:gridSpan w:val="14"/>
          </w:tcPr>
          <w:p>
            <w:pPr>
              <w:spacing w:after="0"/>
              <w:rPr>
                <w:rFonts w:ascii="Times New Roman" w:cs="Times New Roman" w:eastAsia="Times New Roman" w:hAnsi="Times New Roman"/>
                <w:sz w:val="13"/>
                <w:szCs w:val="13"/>
                <w:color w:val="0000FF"/>
              </w:rPr>
            </w:pPr>
            <w:hyperlink r:id="rId264">
              <w:r>
                <w:rPr>
                  <w:rFonts w:ascii="Times New Roman" w:cs="Times New Roman" w:eastAsia="Times New Roman" w:hAnsi="Times New Roman"/>
                  <w:sz w:val="13"/>
                  <w:szCs w:val="13"/>
                  <w:color w:val="0000FF"/>
                </w:rPr>
                <w:t>Tenth Supplemental Indenture, dated as of October 7, 2021,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64">
              <w:r>
                <w:rPr>
                  <w:rFonts w:ascii="Times New Roman" w:cs="Times New Roman" w:eastAsia="Times New Roman" w:hAnsi="Times New Roman"/>
                  <w:sz w:val="12"/>
                  <w:szCs w:val="12"/>
                  <w:color w:val="0000FF"/>
                </w:rPr>
                <w:t>guarantors named therein and Delaware Trust Company.</w:t>
              </w:r>
            </w:hyperlink>
          </w:p>
        </w:tc>
        <w:tc>
          <w:tcPr>
            <w:tcW w:w="298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4.18</w:t>
            </w:r>
          </w:p>
        </w:tc>
        <w:tc>
          <w:tcPr>
            <w:tcW w:w="5960" w:type="dxa"/>
            <w:vAlign w:val="bottom"/>
            <w:gridSpan w:val="14"/>
          </w:tcPr>
          <w:p>
            <w:pPr>
              <w:spacing w:after="0"/>
              <w:rPr>
                <w:rFonts w:ascii="Times New Roman" w:cs="Times New Roman" w:eastAsia="Times New Roman" w:hAnsi="Times New Roman"/>
                <w:sz w:val="13"/>
                <w:szCs w:val="13"/>
                <w:color w:val="0000FF"/>
              </w:rPr>
            </w:pPr>
            <w:hyperlink r:id="rId265">
              <w:r>
                <w:rPr>
                  <w:rFonts w:ascii="Times New Roman" w:cs="Times New Roman" w:eastAsia="Times New Roman" w:hAnsi="Times New Roman"/>
                  <w:sz w:val="13"/>
                  <w:szCs w:val="13"/>
                  <w:color w:val="0000FF"/>
                </w:rPr>
                <w:t>Second Supplemental Indenture, dated as of October 7, 2021,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guarantors named therein and Delaware Trust Company.</w:t>
              </w:r>
            </w:hyperlink>
          </w:p>
        </w:tc>
        <w:tc>
          <w:tcPr>
            <w:tcW w:w="300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4.19</w:t>
            </w:r>
          </w:p>
        </w:tc>
        <w:tc>
          <w:tcPr>
            <w:tcW w:w="5960" w:type="dxa"/>
            <w:vAlign w:val="bottom"/>
            <w:gridSpan w:val="14"/>
          </w:tcPr>
          <w:p>
            <w:pPr>
              <w:spacing w:after="0"/>
              <w:rPr>
                <w:rFonts w:ascii="Times New Roman" w:cs="Times New Roman" w:eastAsia="Times New Roman" w:hAnsi="Times New Roman"/>
                <w:sz w:val="13"/>
                <w:szCs w:val="13"/>
                <w:color w:val="0000FF"/>
              </w:rPr>
            </w:pPr>
            <w:hyperlink r:id="rId266">
              <w:r>
                <w:rPr>
                  <w:rFonts w:ascii="Times New Roman" w:cs="Times New Roman" w:eastAsia="Times New Roman" w:hAnsi="Times New Roman"/>
                  <w:sz w:val="13"/>
                  <w:szCs w:val="13"/>
                  <w:color w:val="0000FF"/>
                </w:rPr>
                <w:t>First Supplemental Indenture, dated as of October 7, 2021,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66">
              <w:r>
                <w:rPr>
                  <w:rFonts w:ascii="Times New Roman" w:cs="Times New Roman" w:eastAsia="Times New Roman" w:hAnsi="Times New Roman"/>
                  <w:sz w:val="12"/>
                  <w:szCs w:val="12"/>
                  <w:color w:val="0000FF"/>
                </w:rPr>
                <w:t>guarantors named therein and Delaware Trust Company.</w:t>
              </w:r>
            </w:hyperlink>
          </w:p>
        </w:tc>
        <w:tc>
          <w:tcPr>
            <w:tcW w:w="294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4.20</w:t>
            </w:r>
          </w:p>
        </w:tc>
        <w:tc>
          <w:tcPr>
            <w:tcW w:w="5960" w:type="dxa"/>
            <w:vAlign w:val="bottom"/>
            <w:gridSpan w:val="14"/>
          </w:tcPr>
          <w:p>
            <w:pPr>
              <w:spacing w:after="0"/>
              <w:rPr>
                <w:rFonts w:ascii="Times New Roman" w:cs="Times New Roman" w:eastAsia="Times New Roman" w:hAnsi="Times New Roman"/>
                <w:sz w:val="13"/>
                <w:szCs w:val="13"/>
                <w:color w:val="0000FF"/>
              </w:rPr>
            </w:pPr>
            <w:hyperlink r:id="rId267">
              <w:r>
                <w:rPr>
                  <w:rFonts w:ascii="Times New Roman" w:cs="Times New Roman" w:eastAsia="Times New Roman" w:hAnsi="Times New Roman"/>
                  <w:sz w:val="13"/>
                  <w:szCs w:val="13"/>
                  <w:color w:val="0000FF"/>
                </w:rPr>
                <w:t>Eleventh Supplemental Indenture, dated as of May 25, 2022, among Clearway Energy Operating LLC, the</w:t>
              </w:r>
            </w:hyperlink>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67">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4.21</w:t>
            </w:r>
          </w:p>
        </w:tc>
        <w:tc>
          <w:tcPr>
            <w:tcW w:w="5960" w:type="dxa"/>
            <w:vAlign w:val="bottom"/>
            <w:gridSpan w:val="14"/>
          </w:tcPr>
          <w:p>
            <w:pPr>
              <w:spacing w:after="0"/>
              <w:rPr>
                <w:rFonts w:ascii="Times New Roman" w:cs="Times New Roman" w:eastAsia="Times New Roman" w:hAnsi="Times New Roman"/>
                <w:sz w:val="13"/>
                <w:szCs w:val="13"/>
                <w:color w:val="0000FF"/>
              </w:rPr>
            </w:pPr>
            <w:hyperlink r:id="rId268">
              <w:r>
                <w:rPr>
                  <w:rFonts w:ascii="Times New Roman" w:cs="Times New Roman" w:eastAsia="Times New Roman" w:hAnsi="Times New Roman"/>
                  <w:sz w:val="13"/>
                  <w:szCs w:val="13"/>
                  <w:color w:val="0000FF"/>
                </w:rPr>
                <w:t>Third Supplemental Indenture, dated as of May 25, 2022,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68">
              <w:r>
                <w:rPr>
                  <w:rFonts w:ascii="Times New Roman" w:cs="Times New Roman" w:eastAsia="Times New Roman" w:hAnsi="Times New Roman"/>
                  <w:sz w:val="12"/>
                  <w:szCs w:val="12"/>
                  <w:color w:val="0000FF"/>
                </w:rPr>
                <w:t>guarantors named therein and Delaware Trust Company.</w:t>
              </w:r>
            </w:hyperlink>
          </w:p>
        </w:tc>
        <w:tc>
          <w:tcPr>
            <w:tcW w:w="294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4.22</w:t>
            </w:r>
          </w:p>
        </w:tc>
        <w:tc>
          <w:tcPr>
            <w:tcW w:w="5960" w:type="dxa"/>
            <w:vAlign w:val="bottom"/>
            <w:gridSpan w:val="14"/>
          </w:tcPr>
          <w:p>
            <w:pPr>
              <w:spacing w:after="0"/>
              <w:rPr>
                <w:rFonts w:ascii="Times New Roman" w:cs="Times New Roman" w:eastAsia="Times New Roman" w:hAnsi="Times New Roman"/>
                <w:sz w:val="13"/>
                <w:szCs w:val="13"/>
                <w:color w:val="0000FF"/>
              </w:rPr>
            </w:pPr>
            <w:hyperlink r:id="rId269">
              <w:r>
                <w:rPr>
                  <w:rFonts w:ascii="Times New Roman" w:cs="Times New Roman" w:eastAsia="Times New Roman" w:hAnsi="Times New Roman"/>
                  <w:sz w:val="13"/>
                  <w:szCs w:val="13"/>
                  <w:color w:val="0000FF"/>
                </w:rPr>
                <w:t>Second Supplemental Indenture, dated as of May 25, 2022,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69">
              <w:r>
                <w:rPr>
                  <w:rFonts w:ascii="Times New Roman" w:cs="Times New Roman" w:eastAsia="Times New Roman" w:hAnsi="Times New Roman"/>
                  <w:sz w:val="12"/>
                  <w:szCs w:val="12"/>
                  <w:color w:val="0000FF"/>
                </w:rPr>
                <w:t>guarantors named therein and Delaware Trust Company.</w:t>
              </w:r>
            </w:hyperlink>
          </w:p>
        </w:tc>
        <w:tc>
          <w:tcPr>
            <w:tcW w:w="288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4.23</w:t>
            </w:r>
          </w:p>
        </w:tc>
        <w:tc>
          <w:tcPr>
            <w:tcW w:w="5960" w:type="dxa"/>
            <w:vAlign w:val="bottom"/>
            <w:gridSpan w:val="14"/>
          </w:tcPr>
          <w:p>
            <w:pPr>
              <w:spacing w:after="0"/>
              <w:rPr>
                <w:rFonts w:ascii="Times New Roman" w:cs="Times New Roman" w:eastAsia="Times New Roman" w:hAnsi="Times New Roman"/>
                <w:sz w:val="13"/>
                <w:szCs w:val="13"/>
                <w:color w:val="0000FF"/>
              </w:rPr>
            </w:pPr>
            <w:hyperlink r:id="rId270">
              <w:r>
                <w:rPr>
                  <w:rFonts w:ascii="Times New Roman" w:cs="Times New Roman" w:eastAsia="Times New Roman" w:hAnsi="Times New Roman"/>
                  <w:sz w:val="13"/>
                  <w:szCs w:val="13"/>
                  <w:color w:val="0000FF"/>
                </w:rPr>
                <w:t>Twelfth Supplemental Indenture, dated as of February 14, 2023,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70">
              <w:r>
                <w:rPr>
                  <w:rFonts w:ascii="Times New Roman" w:cs="Times New Roman" w:eastAsia="Times New Roman" w:hAnsi="Times New Roman"/>
                  <w:sz w:val="12"/>
                  <w:szCs w:val="12"/>
                  <w:color w:val="0000FF"/>
                </w:rPr>
                <w:t>guarantors named therein and Delaware Trust Company.</w:t>
              </w:r>
            </w:hyperlink>
          </w:p>
        </w:tc>
        <w:tc>
          <w:tcPr>
            <w:tcW w:w="2920" w:type="dxa"/>
            <w:vAlign w:val="bottom"/>
            <w:tcBorders>
              <w:top w:val="single" w:sz="8" w:color="0000FF"/>
            </w:tcBorders>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4.24</w:t>
            </w:r>
          </w:p>
        </w:tc>
        <w:tc>
          <w:tcPr>
            <w:tcW w:w="5960" w:type="dxa"/>
            <w:vAlign w:val="bottom"/>
            <w:gridSpan w:val="14"/>
          </w:tcPr>
          <w:p>
            <w:pPr>
              <w:spacing w:after="0"/>
              <w:rPr>
                <w:rFonts w:ascii="Times New Roman" w:cs="Times New Roman" w:eastAsia="Times New Roman" w:hAnsi="Times New Roman"/>
                <w:sz w:val="13"/>
                <w:szCs w:val="13"/>
                <w:color w:val="0000FF"/>
              </w:rPr>
            </w:pPr>
            <w:hyperlink r:id="rId271">
              <w:r>
                <w:rPr>
                  <w:rFonts w:ascii="Times New Roman" w:cs="Times New Roman" w:eastAsia="Times New Roman" w:hAnsi="Times New Roman"/>
                  <w:sz w:val="13"/>
                  <w:szCs w:val="13"/>
                  <w:color w:val="0000FF"/>
                </w:rPr>
                <w:t>Fourth Supplemental Indenture, dated as of February 14, 2023,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guarantors named therein and Delaware Trust Company.</w:t>
              </w:r>
            </w:hyperlink>
          </w:p>
        </w:tc>
        <w:tc>
          <w:tcPr>
            <w:tcW w:w="288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4.25</w:t>
            </w:r>
          </w:p>
        </w:tc>
        <w:tc>
          <w:tcPr>
            <w:tcW w:w="5960" w:type="dxa"/>
            <w:vAlign w:val="bottom"/>
            <w:gridSpan w:val="14"/>
          </w:tcPr>
          <w:p>
            <w:pPr>
              <w:spacing w:after="0"/>
              <w:rPr>
                <w:rFonts w:ascii="Times New Roman" w:cs="Times New Roman" w:eastAsia="Times New Roman" w:hAnsi="Times New Roman"/>
                <w:sz w:val="13"/>
                <w:szCs w:val="13"/>
                <w:color w:val="0000FF"/>
              </w:rPr>
            </w:pPr>
            <w:hyperlink r:id="rId272">
              <w:r>
                <w:rPr>
                  <w:rFonts w:ascii="Times New Roman" w:cs="Times New Roman" w:eastAsia="Times New Roman" w:hAnsi="Times New Roman"/>
                  <w:sz w:val="13"/>
                  <w:szCs w:val="13"/>
                  <w:color w:val="0000FF"/>
                </w:rPr>
                <w:t>Third Supplemental Indenture, dated as of February 14, 2023,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72">
              <w:r>
                <w:rPr>
                  <w:rFonts w:ascii="Times New Roman" w:cs="Times New Roman" w:eastAsia="Times New Roman" w:hAnsi="Times New Roman"/>
                  <w:sz w:val="12"/>
                  <w:szCs w:val="12"/>
                  <w:color w:val="0000FF"/>
                </w:rPr>
                <w:t>guarantors named therein and Delaware Trust Company.</w:t>
              </w:r>
            </w:hyperlink>
          </w:p>
        </w:tc>
        <w:tc>
          <w:tcPr>
            <w:tcW w:w="300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4.26</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Thirteenth Supplemental Indenture, dated as of August 4, 2023,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94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4.27</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Fifth Supplemental Indenture, dated as of August 4, 2023,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304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4.28</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Fourth Supplemental Indenture, dated as of August 4, 2023,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960" w:type="dxa"/>
            <w:vAlign w:val="bottom"/>
            <w:tcBorders>
              <w:top w:val="single" w:sz="8" w:color="0000FF"/>
            </w:tcBorders>
            <w:gridSpan w:val="6"/>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4.29</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Fourteenth Supplemental Indenture, dated as of November 13, 2023, among Clearway Energy Operating LLC,</w:t>
            </w:r>
          </w:p>
        </w:tc>
      </w:tr>
      <w:tr>
        <w:trPr>
          <w:trHeight w:val="107"/>
        </w:trPr>
        <w:tc>
          <w:tcPr>
            <w:tcW w:w="1000" w:type="dxa"/>
            <w:vAlign w:val="bottom"/>
          </w:tcPr>
          <w:p>
            <w:pPr>
              <w:spacing w:after="0"/>
              <w:rPr>
                <w:sz w:val="9"/>
                <w:szCs w:val="9"/>
                <w:color w:val="auto"/>
              </w:rPr>
            </w:pPr>
          </w:p>
        </w:tc>
        <w:tc>
          <w:tcPr>
            <w:tcW w:w="308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the guarantors named therein and Delaware Trust Company.</w:t>
            </w:r>
          </w:p>
        </w:tc>
        <w:tc>
          <w:tcPr>
            <w:tcW w:w="282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4.30</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Sixth Supplemental Indenture, dated as of November 13, 2023,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3020" w:type="dxa"/>
            <w:vAlign w:val="bottom"/>
            <w:tcBorders>
              <w:top w:val="single" w:sz="8" w:color="0000FF"/>
            </w:tcBorders>
            <w:gridSpan w:val="9"/>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4.31</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Fifth Supplemental Indenture, dated as of November 13, 2023,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3020" w:type="dxa"/>
            <w:vAlign w:val="bottom"/>
            <w:tcBorders>
              <w:top w:val="single" w:sz="8" w:color="0000FF"/>
            </w:tcBorders>
            <w:gridSpan w:val="9"/>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4.32</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Fifteenth Supplemental Indenture, dated as of May 30, 2024,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88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8"/>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4.33</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Seventh Supplemental Indenture, dated as of May 30, 2024, among Clearway Energy Operating LLC, the</w:t>
            </w: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8"/>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120" w:type="dxa"/>
            <w:vAlign w:val="bottom"/>
            <w:gridSpan w:val="6"/>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4.34</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Sixth Supplemental Indenture, dated as of May 30, 2024,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900" w:type="dxa"/>
            <w:vAlign w:val="bottom"/>
            <w:tcBorders>
              <w:top w:val="single" w:sz="8" w:color="0000FF"/>
            </w:tcBorders>
            <w:gridSpan w:val="3"/>
          </w:tcPr>
          <w:p>
            <w:pPr>
              <w:spacing w:after="0"/>
              <w:rPr>
                <w:sz w:val="9"/>
                <w:szCs w:val="9"/>
                <w:color w:val="auto"/>
              </w:rPr>
            </w:pPr>
          </w:p>
        </w:tc>
        <w:tc>
          <w:tcPr>
            <w:tcW w:w="160" w:type="dxa"/>
            <w:vAlign w:val="bottom"/>
            <w:gridSpan w:val="8"/>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4.35</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Sixteenth Supplemental Indenture, dated as of July 17, 2024,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900" w:type="dxa"/>
            <w:vAlign w:val="bottom"/>
            <w:tcBorders>
              <w:top w:val="single" w:sz="8" w:color="0000FF"/>
            </w:tcBorders>
            <w:gridSpan w:val="3"/>
          </w:tcPr>
          <w:p>
            <w:pPr>
              <w:spacing w:after="0"/>
              <w:rPr>
                <w:sz w:val="9"/>
                <w:szCs w:val="9"/>
                <w:color w:val="auto"/>
              </w:rPr>
            </w:pPr>
          </w:p>
        </w:tc>
        <w:tc>
          <w:tcPr>
            <w:tcW w:w="160" w:type="dxa"/>
            <w:vAlign w:val="bottom"/>
            <w:gridSpan w:val="8"/>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4.36</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Eighth Supplemental Indenture, dated as of July 17, 2024, among Clearway Energy Operating LLC, the</w:t>
            </w: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304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October 1,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4.4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February 21,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February 21,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February 21, 2023.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326"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Method of Filing</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4.37</w:t>
            </w:r>
          </w:p>
        </w:tc>
        <w:tc>
          <w:tcPr>
            <w:tcW w:w="18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Seventh Supplemental Indenture,</w:t>
            </w:r>
          </w:p>
        </w:tc>
        <w:tc>
          <w:tcPr>
            <w:tcW w:w="4160" w:type="dxa"/>
            <w:vAlign w:val="bottom"/>
            <w:gridSpan w:val="13"/>
          </w:tcPr>
          <w:p>
            <w:pPr>
              <w:ind w:left="20"/>
              <w:spacing w:after="0" w:line="143" w:lineRule="exact"/>
              <w:rPr>
                <w:sz w:val="20"/>
                <w:szCs w:val="20"/>
                <w:color w:val="auto"/>
              </w:rPr>
            </w:pPr>
            <w:r>
              <w:rPr>
                <w:rFonts w:ascii="Times New Roman" w:cs="Times New Roman" w:eastAsia="Times New Roman" w:hAnsi="Times New Roman"/>
                <w:sz w:val="13"/>
                <w:szCs w:val="13"/>
                <w:color w:val="0000FF"/>
              </w:rPr>
              <w:t>dated as of July 17, 2024, among Clearway Energy Operating LLC, the</w:t>
            </w:r>
          </w:p>
        </w:tc>
        <w:tc>
          <w:tcPr>
            <w:tcW w:w="42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1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Delaware Trust Company.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4.38</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Seventeenth Supplemental Indenture, dated as of October 30, 2024,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4.39</w:t>
            </w:r>
          </w:p>
        </w:tc>
        <w:tc>
          <w:tcPr>
            <w:tcW w:w="5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rPr>
              <w:t>Ninth Supplemental Indenture, dated as of October 30, 2024,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60" w:type="dxa"/>
            <w:vAlign w:val="bottom"/>
            <w:gridSpan w:val="14"/>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4.40</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Eighth Supplemental Indenture, dated as of October 30, 2024,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11"/>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4.41</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Eighteenth Supplemental Indenture, dated as of January 13, 2025,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tcBorders>
            <w:gridSpan w:val="6"/>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4.42</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Tenth Supplemental Indenture, dated as of January 13, 2025,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9"/>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4.43</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Ninth Supplemental Indenture, dated as of January 13, 2025,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11"/>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4.44</w:t>
            </w:r>
          </w:p>
        </w:tc>
        <w:tc>
          <w:tcPr>
            <w:tcW w:w="5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rPr>
              <w:t>Nineteenth Supplemental Indenture, dated as of April 30, 2025,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60" w:type="dxa"/>
            <w:vAlign w:val="bottom"/>
            <w:gridSpan w:val="14"/>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4.45</w:t>
            </w:r>
          </w:p>
        </w:tc>
        <w:tc>
          <w:tcPr>
            <w:tcW w:w="5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rPr>
              <w:t>Eleventh Supplemental Indenture, dated as of April 30, 2025,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60" w:type="dxa"/>
            <w:vAlign w:val="bottom"/>
            <w:gridSpan w:val="14"/>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4.46</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Tenth Supplemental Indenture, dated as of April 30, 2025,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9"/>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4.47</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Twentieth Supplemental Indenture, dated as of October 17, 2025,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8"/>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4.48</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Twelfth Supplemental Indenture, dated as of October 17, 2025,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tcBorders>
            <w:gridSpan w:val="13"/>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4.49</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Eleventh Supplemental Indenture, dated as of October 17, 2025,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tcBorders>
            <w:gridSpan w:val="6"/>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4.50</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Twenty-First Supplemental Indenture, dated as of December 22, 2025, among Clearway Energy Operating LLC,</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bottom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the guarantors named therein and CSC Delaware Trust Company (formerly known as Delaware Trust Company).</w:t>
            </w:r>
          </w:p>
        </w:tc>
        <w:tc>
          <w:tcPr>
            <w:tcW w:w="60" w:type="dxa"/>
            <w:vAlign w:val="bottom"/>
            <w:tcBorders>
              <w:top w:val="single" w:sz="8" w:color="0000FF"/>
            </w:tcBorders>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424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4.51</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Thirteenth Supplemental Indenture, dated as of December 22, 2025, among Clearway Energy Operating LLC,</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bottom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the guarantors named therein and CSC Delaware Trust Company (formerly known as Delaware Trust Company).</w:t>
            </w:r>
          </w:p>
        </w:tc>
        <w:tc>
          <w:tcPr>
            <w:tcW w:w="100" w:type="dxa"/>
            <w:vAlign w:val="bottom"/>
            <w:tcBorders>
              <w:top w:val="single" w:sz="8" w:color="0000FF"/>
            </w:tcBorders>
            <w:gridSpan w:val="5"/>
          </w:tcPr>
          <w:p>
            <w:pPr>
              <w:spacing w:after="0"/>
              <w:rPr>
                <w:sz w:val="9"/>
                <w:szCs w:val="9"/>
                <w:color w:val="auto"/>
              </w:rPr>
            </w:pPr>
          </w:p>
        </w:tc>
        <w:tc>
          <w:tcPr>
            <w:tcW w:w="80" w:type="dxa"/>
            <w:vAlign w:val="bottom"/>
            <w:gridSpan w:val="4"/>
          </w:tcPr>
          <w:p>
            <w:pPr>
              <w:spacing w:after="0"/>
              <w:rPr>
                <w:sz w:val="9"/>
                <w:szCs w:val="9"/>
                <w:color w:val="auto"/>
              </w:rPr>
            </w:pPr>
          </w:p>
        </w:tc>
        <w:tc>
          <w:tcPr>
            <w:tcW w:w="424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4.52</w:t>
            </w:r>
          </w:p>
        </w:tc>
        <w:tc>
          <w:tcPr>
            <w:tcW w:w="5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Twelfth Supplemental Indenture, dated as of December 22, 2025, among Clearway Energy Operating LLC, the</w:t>
            </w:r>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7"/>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140" w:type="dxa"/>
            <w:vAlign w:val="bottom"/>
            <w:gridSpan w:val="7"/>
          </w:tcPr>
          <w:p>
            <w:pPr>
              <w:spacing w:after="0"/>
              <w:rPr>
                <w:sz w:val="9"/>
                <w:szCs w:val="9"/>
                <w:color w:val="auto"/>
              </w:rPr>
            </w:pPr>
          </w:p>
        </w:tc>
        <w:tc>
          <w:tcPr>
            <w:tcW w:w="424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4.53</w:t>
            </w:r>
          </w:p>
        </w:tc>
        <w:tc>
          <w:tcPr>
            <w:tcW w:w="5960" w:type="dxa"/>
            <w:vAlign w:val="bottom"/>
            <w:gridSpan w:val="14"/>
          </w:tcPr>
          <w:p>
            <w:pPr>
              <w:spacing w:after="0"/>
              <w:rPr>
                <w:rFonts w:ascii="Times New Roman" w:cs="Times New Roman" w:eastAsia="Times New Roman" w:hAnsi="Times New Roman"/>
                <w:sz w:val="13"/>
                <w:szCs w:val="13"/>
                <w:color w:val="0000FF"/>
              </w:rPr>
            </w:pPr>
            <w:hyperlink r:id="rId274">
              <w:r>
                <w:rPr>
                  <w:rFonts w:ascii="Times New Roman" w:cs="Times New Roman" w:eastAsia="Times New Roman" w:hAnsi="Times New Roman"/>
                  <w:sz w:val="13"/>
                  <w:szCs w:val="13"/>
                  <w:color w:val="0000FF"/>
                </w:rPr>
                <w:t>Indenture, dated January 13, 2026, among Clearway Energy Operating LLC, the guarantors named therein and</w:t>
              </w:r>
            </w:hyperlink>
          </w:p>
        </w:tc>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w w:val="96"/>
              </w:rPr>
              <w:t>Incorporated herein by reference to Exhibit 4.1 to the Company’s Current Report on</w:t>
            </w:r>
          </w:p>
        </w:tc>
      </w:tr>
      <w:tr>
        <w:trPr>
          <w:trHeight w:val="107"/>
        </w:trPr>
        <w:tc>
          <w:tcPr>
            <w:tcW w:w="1000" w:type="dxa"/>
            <w:vAlign w:val="bottom"/>
          </w:tcPr>
          <w:p>
            <w:pPr>
              <w:spacing w:after="0"/>
              <w:rPr>
                <w:sz w:val="9"/>
                <w:szCs w:val="9"/>
                <w:color w:val="auto"/>
              </w:rPr>
            </w:pPr>
          </w:p>
        </w:tc>
        <w:tc>
          <w:tcPr>
            <w:tcW w:w="216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74">
              <w:r>
                <w:rPr>
                  <w:rFonts w:ascii="Times New Roman" w:cs="Times New Roman" w:eastAsia="Times New Roman" w:hAnsi="Times New Roman"/>
                  <w:sz w:val="12"/>
                  <w:szCs w:val="12"/>
                  <w:color w:val="0000FF"/>
                </w:rPr>
                <w:t>CSC Delaware Trust Company, as trustee.</w:t>
              </w:r>
            </w:hyperlink>
          </w:p>
        </w:tc>
        <w:tc>
          <w:tcPr>
            <w:tcW w:w="3720" w:type="dxa"/>
            <w:vAlign w:val="bottom"/>
            <w:tcBorders>
              <w:top w:val="single" w:sz="8" w:color="0000FF"/>
            </w:tcBorders>
            <w:gridSpan w:val="8"/>
          </w:tcPr>
          <w:p>
            <w:pPr>
              <w:spacing w:after="0"/>
              <w:rPr>
                <w:sz w:val="9"/>
                <w:szCs w:val="9"/>
                <w:color w:val="auto"/>
              </w:rPr>
            </w:pPr>
          </w:p>
        </w:tc>
        <w:tc>
          <w:tcPr>
            <w:tcW w:w="80" w:type="dxa"/>
            <w:vAlign w:val="bottom"/>
            <w:gridSpan w:val="4"/>
          </w:tcPr>
          <w:p>
            <w:pPr>
              <w:spacing w:after="0"/>
              <w:rPr>
                <w:sz w:val="9"/>
                <w:szCs w:val="9"/>
                <w:color w:val="auto"/>
              </w:rPr>
            </w:pPr>
          </w:p>
        </w:tc>
        <w:tc>
          <w:tcPr>
            <w:tcW w:w="4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Form 8-K filed on January 13, 2026.</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100" w:type="dxa"/>
            <w:vAlign w:val="bottom"/>
            <w:gridSpan w:val="27"/>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4.54</w:t>
            </w:r>
          </w:p>
        </w:tc>
        <w:tc>
          <w:tcPr>
            <w:tcW w:w="2080" w:type="dxa"/>
            <w:vAlign w:val="bottom"/>
            <w:tcBorders>
              <w:bottom w:val="single" w:sz="8" w:color="0000FF"/>
            </w:tcBorders>
            <w:gridSpan w:val="4"/>
          </w:tcPr>
          <w:p>
            <w:pPr>
              <w:spacing w:after="0" w:line="143" w:lineRule="exact"/>
              <w:rPr>
                <w:rFonts w:ascii="Times New Roman" w:cs="Times New Roman" w:eastAsia="Times New Roman" w:hAnsi="Times New Roman"/>
                <w:sz w:val="13"/>
                <w:szCs w:val="13"/>
                <w:color w:val="0000FF"/>
                <w:w w:val="97"/>
              </w:rPr>
            </w:pPr>
            <w:hyperlink r:id="rId274">
              <w:r>
                <w:rPr>
                  <w:rFonts w:ascii="Times New Roman" w:cs="Times New Roman" w:eastAsia="Times New Roman" w:hAnsi="Times New Roman"/>
                  <w:sz w:val="13"/>
                  <w:szCs w:val="13"/>
                  <w:color w:val="0000FF"/>
                  <w:w w:val="97"/>
                </w:rPr>
                <w:t>Form of 5.750% Senior Notes due 2034.</w:t>
              </w:r>
            </w:hyperlink>
          </w:p>
        </w:tc>
        <w:tc>
          <w:tcPr>
            <w:tcW w:w="4020" w:type="dxa"/>
            <w:vAlign w:val="bottom"/>
            <w:gridSpan w:val="23"/>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4.55</w:t>
            </w:r>
          </w:p>
        </w:tc>
        <w:tc>
          <w:tcPr>
            <w:tcW w:w="610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Twenty-Second Supplemental Indenture, dated as of February 11, 2026, among Clearway Energy Operating</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bottom w:val="single" w:sz="8" w:color="0000FF"/>
            </w:tcBorders>
            <w:gridSpan w:val="19"/>
          </w:tcPr>
          <w:p>
            <w:pPr>
              <w:spacing w:after="0" w:line="107" w:lineRule="exact"/>
              <w:rPr>
                <w:sz w:val="20"/>
                <w:szCs w:val="20"/>
                <w:color w:val="auto"/>
              </w:rPr>
            </w:pPr>
            <w:r>
              <w:rPr>
                <w:rFonts w:ascii="Times New Roman" w:cs="Times New Roman" w:eastAsia="Times New Roman" w:hAnsi="Times New Roman"/>
                <w:sz w:val="12"/>
                <w:szCs w:val="12"/>
                <w:color w:val="0000FF"/>
              </w:rPr>
              <w:t>LLC, the guarantors named therein and CSC Delaware Trust Company (formerly known as Delaware Trust</w:t>
            </w: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0" w:type="dxa"/>
            <w:vAlign w:val="bottom"/>
            <w:tcBorders>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rPr>
              <w:t>Company).</w:t>
            </w:r>
          </w:p>
        </w:tc>
        <w:tc>
          <w:tcPr>
            <w:tcW w:w="5500" w:type="dxa"/>
            <w:vAlign w:val="bottom"/>
            <w:gridSpan w:val="2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4.56</w:t>
            </w:r>
          </w:p>
        </w:tc>
        <w:tc>
          <w:tcPr>
            <w:tcW w:w="610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Fourteenth Supplemental Indenture, dated as of February 11, 2026, among Clearway Energy Operating LLC, the</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21"/>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4.57</w:t>
            </w:r>
          </w:p>
        </w:tc>
        <w:tc>
          <w:tcPr>
            <w:tcW w:w="610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Thirteenth Supplemental Indenture, dated as of February 11, 2026, among Clearway Energy Operating LLC, the</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20"/>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4.58</w:t>
            </w:r>
          </w:p>
        </w:tc>
        <w:tc>
          <w:tcPr>
            <w:tcW w:w="6100" w:type="dxa"/>
            <w:vAlign w:val="bottom"/>
            <w:gridSpan w:val="27"/>
          </w:tcPr>
          <w:p>
            <w:pPr>
              <w:spacing w:after="0"/>
              <w:rPr>
                <w:sz w:val="20"/>
                <w:szCs w:val="20"/>
                <w:color w:val="auto"/>
              </w:rPr>
            </w:pPr>
            <w:r>
              <w:rPr>
                <w:rFonts w:ascii="Times New Roman" w:cs="Times New Roman" w:eastAsia="Times New Roman" w:hAnsi="Times New Roman"/>
                <w:sz w:val="13"/>
                <w:szCs w:val="13"/>
                <w:color w:val="0000FF"/>
              </w:rPr>
              <w:t>First Supplemental Indenture, dated as of February 11, 2026, among Clearway Energy Operating LLC, the</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00" w:type="dxa"/>
            <w:vAlign w:val="bottom"/>
            <w:tcBorders>
              <w:top w:val="single" w:sz="8" w:color="0000FF"/>
            </w:tcBorders>
            <w:gridSpan w:val="22"/>
          </w:tcPr>
          <w:p>
            <w:pPr>
              <w:spacing w:after="0" w:line="107" w:lineRule="exact"/>
              <w:rPr>
                <w:sz w:val="20"/>
                <w:szCs w:val="20"/>
                <w:color w:val="auto"/>
              </w:rPr>
            </w:pPr>
            <w:r>
              <w:rPr>
                <w:rFonts w:ascii="Times New Roman" w:cs="Times New Roman" w:eastAsia="Times New Roman" w:hAnsi="Times New Roman"/>
                <w:sz w:val="12"/>
                <w:szCs w:val="12"/>
                <w:color w:val="0000FF"/>
              </w:rPr>
              <w:t>guarantors named therein and CSC Delaware Trust Company (formerly known as Delaware Trust Company).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6100" w:type="dxa"/>
            <w:vAlign w:val="bottom"/>
            <w:gridSpan w:val="27"/>
          </w:tcPr>
          <w:p>
            <w:pPr>
              <w:spacing w:after="0"/>
              <w:rPr>
                <w:rFonts w:ascii="Times New Roman" w:cs="Times New Roman" w:eastAsia="Times New Roman" w:hAnsi="Times New Roman"/>
                <w:sz w:val="13"/>
                <w:szCs w:val="13"/>
                <w:color w:val="0000FF"/>
              </w:rPr>
            </w:pPr>
            <w:hyperlink r:id="rId276">
              <w:r>
                <w:rPr>
                  <w:rFonts w:ascii="Times New Roman" w:cs="Times New Roman" w:eastAsia="Times New Roman" w:hAnsi="Times New Roman"/>
                  <w:sz w:val="13"/>
                  <w:szCs w:val="13"/>
                  <w:color w:val="0000FF"/>
                </w:rPr>
                <w:t>Amended and Restated Credit Agreement, dated April 25, 2014, by and among NRG Yield Operating LLC,</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76">
              <w:r>
                <w:rPr>
                  <w:rFonts w:ascii="Times New Roman" w:cs="Times New Roman" w:eastAsia="Times New Roman" w:hAnsi="Times New Roman"/>
                  <w:sz w:val="12"/>
                  <w:szCs w:val="12"/>
                  <w:color w:val="0000FF"/>
                </w:rPr>
                <w:t>NRG Yield LLC, Royal Bank of Canada, as Administrative Agent, the lenders party thereto, Royal Bank of</w:t>
              </w:r>
            </w:hyperlink>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76">
              <w:r>
                <w:rPr>
                  <w:rFonts w:ascii="Times New Roman" w:cs="Times New Roman" w:eastAsia="Times New Roman" w:hAnsi="Times New Roman"/>
                  <w:sz w:val="12"/>
                  <w:szCs w:val="12"/>
                  <w:color w:val="0000FF"/>
                </w:rPr>
                <w:t>Canada, Goldman Sachs Bank USA and Bank of America, N.A., as L/C Issuers and RBC Capital Markets as</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00" w:type="dxa"/>
            <w:vAlign w:val="bottom"/>
            <w:tcBorders>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76">
              <w:r>
                <w:rPr>
                  <w:rFonts w:ascii="Times New Roman" w:cs="Times New Roman" w:eastAsia="Times New Roman" w:hAnsi="Times New Roman"/>
                  <w:sz w:val="12"/>
                  <w:szCs w:val="12"/>
                  <w:color w:val="0000FF"/>
                </w:rPr>
                <w:t>Sole Left Lead Arranger and Sole Left Lead Book Runner.</w:t>
              </w:r>
            </w:hyperlink>
          </w:p>
        </w:tc>
        <w:tc>
          <w:tcPr>
            <w:tcW w:w="284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6100" w:type="dxa"/>
            <w:vAlign w:val="bottom"/>
            <w:gridSpan w:val="27"/>
            <w:vMerge w:val="restart"/>
          </w:tcPr>
          <w:p>
            <w:pPr>
              <w:spacing w:after="0"/>
              <w:rPr>
                <w:rFonts w:ascii="Times New Roman" w:cs="Times New Roman" w:eastAsia="Times New Roman" w:hAnsi="Times New Roman"/>
                <w:sz w:val="13"/>
                <w:szCs w:val="13"/>
                <w:color w:val="0000FF"/>
              </w:rPr>
            </w:pPr>
            <w:hyperlink r:id="rId277">
              <w:r>
                <w:rPr>
                  <w:rFonts w:ascii="Times New Roman" w:cs="Times New Roman" w:eastAsia="Times New Roman" w:hAnsi="Times New Roman"/>
                  <w:sz w:val="13"/>
                  <w:szCs w:val="13"/>
                  <w:color w:val="0000FF"/>
                </w:rPr>
                <w:t>First Amendment to Amended &amp; Restated Credit Agreement, dated June 26, 2015, by and among NRG Yield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00" w:type="dxa"/>
            <w:vAlign w:val="bottom"/>
            <w:gridSpan w:val="2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448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Operating LLC, NRG Yield LLC, Royal Bank of Canada and the Lenders party thereto.</w:t>
              </w:r>
            </w:hyperlink>
          </w:p>
        </w:tc>
        <w:tc>
          <w:tcPr>
            <w:tcW w:w="136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6100" w:type="dxa"/>
            <w:vAlign w:val="bottom"/>
            <w:gridSpan w:val="27"/>
          </w:tcPr>
          <w:p>
            <w:pPr>
              <w:spacing w:after="0"/>
              <w:rPr>
                <w:rFonts w:ascii="Times New Roman" w:cs="Times New Roman" w:eastAsia="Times New Roman" w:hAnsi="Times New Roman"/>
                <w:sz w:val="13"/>
                <w:szCs w:val="13"/>
                <w:color w:val="0000FF"/>
              </w:rPr>
            </w:pPr>
            <w:hyperlink r:id="rId278">
              <w:r>
                <w:rPr>
                  <w:rFonts w:ascii="Times New Roman" w:cs="Times New Roman" w:eastAsia="Times New Roman" w:hAnsi="Times New Roman"/>
                  <w:sz w:val="13"/>
                  <w:szCs w:val="13"/>
                  <w:color w:val="0000FF"/>
                </w:rPr>
                <w:t>Second Amendment to Amended &amp; Restated Credit Agreement, dated February 6, 2018, by and among NRG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0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Yield Operating LLC, NRG Yield LLC, the guarantors party thereto, Royal Bank of Canada, as Administrative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Agent, and the lenders party thereto.</w:t>
              </w:r>
            </w:hyperlink>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10.1.4</w:t>
            </w: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6100" w:type="dxa"/>
            <w:vAlign w:val="bottom"/>
            <w:gridSpan w:val="27"/>
            <w:vMerge w:val="restart"/>
          </w:tcPr>
          <w:p>
            <w:pPr>
              <w:spacing w:after="0"/>
              <w:rPr>
                <w:rFonts w:ascii="Times New Roman" w:cs="Times New Roman" w:eastAsia="Times New Roman" w:hAnsi="Times New Roman"/>
                <w:sz w:val="13"/>
                <w:szCs w:val="13"/>
                <w:color w:val="0000FF"/>
              </w:rPr>
            </w:pPr>
            <w:hyperlink r:id="rId279">
              <w:r>
                <w:rPr>
                  <w:rFonts w:ascii="Times New Roman" w:cs="Times New Roman" w:eastAsia="Times New Roman" w:hAnsi="Times New Roman"/>
                  <w:sz w:val="13"/>
                  <w:szCs w:val="13"/>
                  <w:color w:val="0000FF"/>
                </w:rPr>
                <w:t>Third Amendment to Amended and Restated Credit Agreement and Administrative Agent Resignation and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00" w:type="dxa"/>
            <w:vAlign w:val="bottom"/>
            <w:gridSpan w:val="2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20" w:type="dxa"/>
            <w:vAlign w:val="bottom"/>
            <w:tcBorders>
              <w:top w:val="single" w:sz="8" w:color="0000FF"/>
              <w:bottom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79">
              <w:r>
                <w:rPr>
                  <w:rFonts w:ascii="Times New Roman" w:cs="Times New Roman" w:eastAsia="Times New Roman" w:hAnsi="Times New Roman"/>
                  <w:sz w:val="12"/>
                  <w:szCs w:val="12"/>
                  <w:color w:val="0000FF"/>
                </w:rPr>
                <w:t>Appointment Agreement, dated as of April 30, 2018, by and among NRG Yield Operating LLC, NRG Yield</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40" w:type="dxa"/>
            <w:vAlign w:val="bottom"/>
            <w:gridSpan w:val="24"/>
          </w:tcPr>
          <w:p>
            <w:pPr>
              <w:spacing w:after="0" w:line="107" w:lineRule="exact"/>
              <w:rPr>
                <w:rFonts w:ascii="Times New Roman" w:cs="Times New Roman" w:eastAsia="Times New Roman" w:hAnsi="Times New Roman"/>
                <w:sz w:val="12"/>
                <w:szCs w:val="12"/>
                <w:color w:val="0000FF"/>
              </w:rPr>
            </w:pPr>
            <w:hyperlink r:id="rId279">
              <w:r>
                <w:rPr>
                  <w:rFonts w:ascii="Times New Roman" w:cs="Times New Roman" w:eastAsia="Times New Roman" w:hAnsi="Times New Roman"/>
                  <w:sz w:val="12"/>
                  <w:szCs w:val="12"/>
                  <w:color w:val="0000FF"/>
                </w:rPr>
                <w:t>LLC, the guarantors party thereto, Royal Bank of Canada, as Resigning Administrative Agent, JPMorgan Chase</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8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279">
              <w:r>
                <w:rPr>
                  <w:rFonts w:ascii="Times New Roman" w:cs="Times New Roman" w:eastAsia="Times New Roman" w:hAnsi="Times New Roman"/>
                  <w:sz w:val="12"/>
                  <w:szCs w:val="12"/>
                  <w:color w:val="0000FF"/>
                </w:rPr>
                <w:t>Bank, N.A., as Successor Administrative Agent, and the lenders party thereto.</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6100" w:type="dxa"/>
            <w:vAlign w:val="bottom"/>
            <w:gridSpan w:val="27"/>
          </w:tcPr>
          <w:p>
            <w:pPr>
              <w:spacing w:after="0"/>
              <w:rPr>
                <w:rFonts w:ascii="Times New Roman" w:cs="Times New Roman" w:eastAsia="Times New Roman" w:hAnsi="Times New Roman"/>
                <w:sz w:val="13"/>
                <w:szCs w:val="13"/>
                <w:color w:val="0000FF"/>
              </w:rPr>
            </w:pPr>
            <w:hyperlink r:id="rId280">
              <w:r>
                <w:rPr>
                  <w:rFonts w:ascii="Times New Roman" w:cs="Times New Roman" w:eastAsia="Times New Roman" w:hAnsi="Times New Roman"/>
                  <w:sz w:val="13"/>
                  <w:szCs w:val="13"/>
                  <w:color w:val="0000FF"/>
                </w:rPr>
                <w:t>Fourth Amendment to Amended and Restated Credit Agreement, dated as of November 30, 2018,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80">
              <w:r>
                <w:rPr>
                  <w:rFonts w:ascii="Times New Roman" w:cs="Times New Roman" w:eastAsia="Times New Roman" w:hAnsi="Times New Roman"/>
                  <w:sz w:val="12"/>
                  <w:szCs w:val="12"/>
                  <w:color w:val="0000FF"/>
                </w:rPr>
                <w:t>Clearway Energy Operating LLC, Clearway Energy LLC, the guarantors party thereto, JPMorgan Chase Bank,</w:t>
              </w:r>
            </w:hyperlink>
          </w:p>
        </w:tc>
        <w:tc>
          <w:tcPr>
            <w:tcW w:w="140" w:type="dxa"/>
            <w:vAlign w:val="bottom"/>
            <w:gridSpan w:val="7"/>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4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80">
              <w:r>
                <w:rPr>
                  <w:rFonts w:ascii="Times New Roman" w:cs="Times New Roman" w:eastAsia="Times New Roman" w:hAnsi="Times New Roman"/>
                  <w:sz w:val="12"/>
                  <w:szCs w:val="12"/>
                  <w:color w:val="0000FF"/>
                </w:rPr>
                <w:t>N.A., as administrative agent, and the lenders party thereto.</w:t>
              </w:r>
            </w:hyperlink>
          </w:p>
        </w:tc>
        <w:tc>
          <w:tcPr>
            <w:tcW w:w="2940" w:type="dxa"/>
            <w:vAlign w:val="bottom"/>
            <w:tcBorders>
              <w:top w:val="single" w:sz="8" w:color="0000FF"/>
            </w:tcBorders>
            <w:gridSpan w:val="15"/>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6100" w:type="dxa"/>
            <w:vAlign w:val="bottom"/>
            <w:gridSpan w:val="27"/>
          </w:tcPr>
          <w:p>
            <w:pPr>
              <w:spacing w:after="0"/>
              <w:rPr>
                <w:rFonts w:ascii="Times New Roman" w:cs="Times New Roman" w:eastAsia="Times New Roman" w:hAnsi="Times New Roman"/>
                <w:sz w:val="13"/>
                <w:szCs w:val="13"/>
                <w:color w:val="0000FF"/>
              </w:rPr>
            </w:pPr>
            <w:hyperlink r:id="rId281">
              <w:r>
                <w:rPr>
                  <w:rFonts w:ascii="Times New Roman" w:cs="Times New Roman" w:eastAsia="Times New Roman" w:hAnsi="Times New Roman"/>
                  <w:sz w:val="13"/>
                  <w:szCs w:val="13"/>
                  <w:color w:val="0000FF"/>
                </w:rPr>
                <w:t>Fifth Amendment to Amended and Restated Credit Agreement, dated as of December 20, 2019,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8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81">
              <w:r>
                <w:rPr>
                  <w:rFonts w:ascii="Times New Roman" w:cs="Times New Roman" w:eastAsia="Times New Roman" w:hAnsi="Times New Roman"/>
                  <w:sz w:val="12"/>
                  <w:szCs w:val="12"/>
                  <w:color w:val="0000FF"/>
                </w:rPr>
                <w:t>Clearway Energy Operating LLC, Clearway Energy LLC, the guarantors party thereto, JPMorgan Chase Bank,</w:t>
              </w:r>
            </w:hyperlink>
          </w:p>
        </w:tc>
        <w:tc>
          <w:tcPr>
            <w:tcW w:w="180" w:type="dxa"/>
            <w:vAlign w:val="bottom"/>
            <w:gridSpan w:val="9"/>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4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81">
              <w:r>
                <w:rPr>
                  <w:rFonts w:ascii="Times New Roman" w:cs="Times New Roman" w:eastAsia="Times New Roman" w:hAnsi="Times New Roman"/>
                  <w:sz w:val="12"/>
                  <w:szCs w:val="12"/>
                  <w:color w:val="0000FF"/>
                </w:rPr>
                <w:t>N.A., as administrative agent, and the lenders party thereto.</w:t>
              </w:r>
            </w:hyperlink>
          </w:p>
        </w:tc>
        <w:tc>
          <w:tcPr>
            <w:tcW w:w="2940" w:type="dxa"/>
            <w:vAlign w:val="bottom"/>
            <w:tcBorders>
              <w:top w:val="single" w:sz="8" w:color="0000FF"/>
            </w:tcBorders>
            <w:gridSpan w:val="15"/>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6100" w:type="dxa"/>
            <w:vAlign w:val="bottom"/>
            <w:gridSpan w:val="27"/>
          </w:tcPr>
          <w:p>
            <w:pPr>
              <w:spacing w:after="0"/>
              <w:rPr>
                <w:rFonts w:ascii="Times New Roman" w:cs="Times New Roman" w:eastAsia="Times New Roman" w:hAnsi="Times New Roman"/>
                <w:sz w:val="13"/>
                <w:szCs w:val="13"/>
                <w:color w:val="0000FF"/>
              </w:rPr>
            </w:pPr>
            <w:hyperlink r:id="rId282">
              <w:r>
                <w:rPr>
                  <w:rFonts w:ascii="Times New Roman" w:cs="Times New Roman" w:eastAsia="Times New Roman" w:hAnsi="Times New Roman"/>
                  <w:sz w:val="13"/>
                  <w:szCs w:val="13"/>
                  <w:color w:val="0000FF"/>
                </w:rPr>
                <w:t>Sixth Amendment to Amended and Restated Credit Agreement, effective as of November 30, 2021, by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6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82">
              <w:r>
                <w:rPr>
                  <w:rFonts w:ascii="Times New Roman" w:cs="Times New Roman" w:eastAsia="Times New Roman" w:hAnsi="Times New Roman"/>
                  <w:sz w:val="12"/>
                  <w:szCs w:val="12"/>
                  <w:color w:val="0000FF"/>
                </w:rPr>
                <w:t>among Clearway Energy Operating LLC, Clearway Energy LLC, the guarantors party thereto, JPMorgan Chase</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82">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40" w:type="dxa"/>
            <w:vAlign w:val="bottom"/>
            <w:gridSpan w:val="1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10.1.8</w:t>
            </w:r>
          </w:p>
        </w:tc>
        <w:tc>
          <w:tcPr>
            <w:tcW w:w="6100" w:type="dxa"/>
            <w:vAlign w:val="bottom"/>
            <w:gridSpan w:val="27"/>
          </w:tcPr>
          <w:p>
            <w:pPr>
              <w:spacing w:after="0"/>
              <w:rPr>
                <w:rFonts w:ascii="Times New Roman" w:cs="Times New Roman" w:eastAsia="Times New Roman" w:hAnsi="Times New Roman"/>
                <w:sz w:val="13"/>
                <w:szCs w:val="13"/>
                <w:color w:val="0000FF"/>
              </w:rPr>
            </w:pPr>
            <w:hyperlink r:id="rId283">
              <w:r>
                <w:rPr>
                  <w:rFonts w:ascii="Times New Roman" w:cs="Times New Roman" w:eastAsia="Times New Roman" w:hAnsi="Times New Roman"/>
                  <w:sz w:val="13"/>
                  <w:szCs w:val="13"/>
                  <w:color w:val="0000FF"/>
                </w:rPr>
                <w:t>Seventh Amendment to Amended and Restated Credit Agreement, entered into as of August 15, 2022, by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83">
              <w:r>
                <w:rPr>
                  <w:rFonts w:ascii="Times New Roman" w:cs="Times New Roman" w:eastAsia="Times New Roman" w:hAnsi="Times New Roman"/>
                  <w:sz w:val="12"/>
                  <w:szCs w:val="12"/>
                  <w:color w:val="0000FF"/>
                </w:rPr>
                <w:t>among Clearway Energy Operating LLC, Clearway Energy LLC, the guarantors party thereto, JPMorgan Chase</w:t>
              </w:r>
            </w:hyperlink>
          </w:p>
        </w:tc>
        <w:tc>
          <w:tcPr>
            <w:tcW w:w="200" w:type="dxa"/>
            <w:vAlign w:val="bottom"/>
            <w:gridSpan w:val="10"/>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83">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40" w:type="dxa"/>
            <w:vAlign w:val="bottom"/>
            <w:gridSpan w:val="1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10.1.9</w:t>
            </w:r>
          </w:p>
        </w:tc>
        <w:tc>
          <w:tcPr>
            <w:tcW w:w="6100" w:type="dxa"/>
            <w:vAlign w:val="bottom"/>
            <w:gridSpan w:val="27"/>
          </w:tcPr>
          <w:p>
            <w:pPr>
              <w:spacing w:after="0"/>
              <w:rPr>
                <w:rFonts w:ascii="Times New Roman" w:cs="Times New Roman" w:eastAsia="Times New Roman" w:hAnsi="Times New Roman"/>
                <w:sz w:val="13"/>
                <w:szCs w:val="13"/>
                <w:color w:val="0000FF"/>
              </w:rPr>
            </w:pPr>
            <w:hyperlink r:id="rId284">
              <w:r>
                <w:rPr>
                  <w:rFonts w:ascii="Times New Roman" w:cs="Times New Roman" w:eastAsia="Times New Roman" w:hAnsi="Times New Roman"/>
                  <w:sz w:val="13"/>
                  <w:szCs w:val="13"/>
                  <w:color w:val="0000FF"/>
                </w:rPr>
                <w:t>Eighth Amendment to Amended and Restated Credit Agreement, entered into as of March 15, 2023, by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84">
              <w:r>
                <w:rPr>
                  <w:rFonts w:ascii="Times New Roman" w:cs="Times New Roman" w:eastAsia="Times New Roman" w:hAnsi="Times New Roman"/>
                  <w:sz w:val="12"/>
                  <w:szCs w:val="12"/>
                  <w:color w:val="0000FF"/>
                </w:rPr>
                <w:t>among Clearway Energy Operating LLC, Clearway Energy LLC, the guarantors party thereto, JPMorgan Chase</w:t>
              </w:r>
            </w:hyperlink>
          </w:p>
        </w:tc>
        <w:tc>
          <w:tcPr>
            <w:tcW w:w="240" w:type="dxa"/>
            <w:vAlign w:val="bottom"/>
            <w:gridSpan w:val="1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84">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gridSpan w:val="15"/>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6100" w:type="dxa"/>
            <w:vAlign w:val="bottom"/>
            <w:gridSpan w:val="27"/>
          </w:tcPr>
          <w:p>
            <w:pPr>
              <w:spacing w:after="0"/>
              <w:rPr>
                <w:rFonts w:ascii="Times New Roman" w:cs="Times New Roman" w:eastAsia="Times New Roman" w:hAnsi="Times New Roman"/>
                <w:sz w:val="13"/>
                <w:szCs w:val="13"/>
                <w:color w:val="0000FF"/>
              </w:rPr>
            </w:pPr>
            <w:hyperlink r:id="rId285">
              <w:r>
                <w:rPr>
                  <w:rFonts w:ascii="Times New Roman" w:cs="Times New Roman" w:eastAsia="Times New Roman" w:hAnsi="Times New Roman"/>
                  <w:sz w:val="13"/>
                  <w:szCs w:val="13"/>
                  <w:color w:val="0000FF"/>
                </w:rPr>
                <w:t>Purchase and Sale Agreement, dated as of August 20, 2021, by and between Dominion Solar Projects III, Inc.</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7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85">
              <w:r>
                <w:rPr>
                  <w:rFonts w:ascii="Times New Roman" w:cs="Times New Roman" w:eastAsia="Times New Roman" w:hAnsi="Times New Roman"/>
                  <w:sz w:val="12"/>
                  <w:szCs w:val="12"/>
                  <w:color w:val="0000FF"/>
                </w:rPr>
                <w:t>and Utah Solar Holdings II LLC.</w:t>
              </w:r>
            </w:hyperlink>
          </w:p>
        </w:tc>
        <w:tc>
          <w:tcPr>
            <w:tcW w:w="4100" w:type="dxa"/>
            <w:vAlign w:val="bottom"/>
            <w:tcBorders>
              <w:top w:val="single" w:sz="8" w:color="0000FF"/>
            </w:tcBorders>
            <w:gridSpan w:val="10"/>
          </w:tcPr>
          <w:p>
            <w:pPr>
              <w:spacing w:after="0"/>
              <w:rPr>
                <w:sz w:val="9"/>
                <w:szCs w:val="9"/>
                <w:color w:val="auto"/>
              </w:rPr>
            </w:pPr>
          </w:p>
        </w:tc>
        <w:tc>
          <w:tcPr>
            <w:tcW w:w="300" w:type="dxa"/>
            <w:vAlign w:val="bottom"/>
            <w:gridSpan w:val="15"/>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January 13,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4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Clearway Energy, Inc.’s Current Report on Form 8-K filed on April 28, 2014.</w:t>
      </w:r>
    </w:p>
    <w:p>
      <w:pPr>
        <w:spacing w:after="0" w:line="25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10.9 to Clearway Energy, Inc.’s Quarterly Report on Form 10-Q filed on August 4, 2015.</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February 12, 2018.</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Quarterly Report on Form 10-Q filed on May 3, 2018.</w:t>
      </w:r>
    </w:p>
    <w:p>
      <w:pPr>
        <w:spacing w:after="0" w:line="39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6, 2018.</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23, 2019.</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1, 2021.</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August 19, 2022.</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March 20, 2023.</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August 23, 2021.</w:t>
      </w:r>
    </w:p>
    <w:p>
      <w:pPr>
        <w:spacing w:after="0" w:line="200"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80" w:type="dxa"/>
            <w:vAlign w:val="bottom"/>
            <w:gridSpan w:val="35"/>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10.3</w:t>
            </w:r>
          </w:p>
        </w:tc>
        <w:tc>
          <w:tcPr>
            <w:tcW w:w="6080" w:type="dxa"/>
            <w:vAlign w:val="bottom"/>
            <w:gridSpan w:val="35"/>
          </w:tcPr>
          <w:p>
            <w:pPr>
              <w:spacing w:after="0" w:line="143" w:lineRule="exact"/>
              <w:rPr>
                <w:rFonts w:ascii="Times New Roman" w:cs="Times New Roman" w:eastAsia="Times New Roman" w:hAnsi="Times New Roman"/>
                <w:sz w:val="13"/>
                <w:szCs w:val="13"/>
                <w:color w:val="0000FF"/>
              </w:rPr>
            </w:pPr>
            <w:hyperlink r:id="rId287">
              <w:r>
                <w:rPr>
                  <w:rFonts w:ascii="Times New Roman" w:cs="Times New Roman" w:eastAsia="Times New Roman" w:hAnsi="Times New Roman"/>
                  <w:sz w:val="13"/>
                  <w:szCs w:val="13"/>
                  <w:color w:val="0000FF"/>
                </w:rPr>
                <w:t>Membership Interest Purchase Agreement, dated as of October 22, 2021, by and between Clearway Energy</w:t>
              </w:r>
            </w:hyperlink>
          </w:p>
        </w:tc>
      </w:tr>
      <w:tr>
        <w:trPr>
          <w:trHeight w:val="107"/>
        </w:trPr>
        <w:tc>
          <w:tcPr>
            <w:tcW w:w="1000" w:type="dxa"/>
            <w:vAlign w:val="bottom"/>
          </w:tcPr>
          <w:p>
            <w:pPr>
              <w:spacing w:after="0"/>
              <w:rPr>
                <w:sz w:val="9"/>
                <w:szCs w:val="9"/>
                <w:color w:val="auto"/>
              </w:rPr>
            </w:pPr>
          </w:p>
        </w:tc>
        <w:tc>
          <w:tcPr>
            <w:tcW w:w="226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87">
              <w:r>
                <w:rPr>
                  <w:rFonts w:ascii="Times New Roman" w:cs="Times New Roman" w:eastAsia="Times New Roman" w:hAnsi="Times New Roman"/>
                  <w:sz w:val="12"/>
                  <w:szCs w:val="12"/>
                  <w:color w:val="0000FF"/>
                </w:rPr>
                <w:t>Operating LLC and KKR Thor Bidco, LLC.</w:t>
              </w:r>
            </w:hyperlink>
          </w:p>
        </w:tc>
        <w:tc>
          <w:tcPr>
            <w:tcW w:w="356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88">
              <w:r>
                <w:rPr>
                  <w:rFonts w:ascii="Times New Roman" w:cs="Times New Roman" w:eastAsia="Times New Roman" w:hAnsi="Times New Roman"/>
                  <w:sz w:val="13"/>
                  <w:szCs w:val="13"/>
                  <w:color w:val="0000FF"/>
                </w:rPr>
                <w:t>Senior Secured Bridge Credit Agreement, dated as of November 30, 2021, by and among Clearway Energy</w:t>
              </w:r>
            </w:hyperlink>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29"/>
          </w:tcPr>
          <w:p>
            <w:pPr>
              <w:spacing w:after="0" w:line="107" w:lineRule="exact"/>
              <w:rPr>
                <w:rFonts w:ascii="Times New Roman" w:cs="Times New Roman" w:eastAsia="Times New Roman" w:hAnsi="Times New Roman"/>
                <w:sz w:val="12"/>
                <w:szCs w:val="12"/>
                <w:color w:val="0000FF"/>
              </w:rPr>
            </w:pPr>
            <w:hyperlink r:id="rId288">
              <w:r>
                <w:rPr>
                  <w:rFonts w:ascii="Times New Roman" w:cs="Times New Roman" w:eastAsia="Times New Roman" w:hAnsi="Times New Roman"/>
                  <w:sz w:val="12"/>
                  <w:szCs w:val="12"/>
                  <w:color w:val="0000FF"/>
                </w:rPr>
                <w:t>Operating LLC, Clearway Energy LLC, the guarantors party thereto, Bank of America, N.A., as administrative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88">
              <w:r>
                <w:rPr>
                  <w:rFonts w:ascii="Times New Roman" w:cs="Times New Roman" w:eastAsia="Times New Roman" w:hAnsi="Times New Roman"/>
                  <w:sz w:val="12"/>
                  <w:szCs w:val="12"/>
                  <w:color w:val="0000FF"/>
                </w:rPr>
                <w:t>agent, and the lenders party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89">
              <w:r>
                <w:rPr>
                  <w:rFonts w:ascii="Times New Roman" w:cs="Times New Roman" w:eastAsia="Times New Roman" w:hAnsi="Times New Roman"/>
                  <w:sz w:val="13"/>
                  <w:szCs w:val="13"/>
                  <w:color w:val="0000FF"/>
                </w:rPr>
                <w:t>First Amendment to Membership Interest Purchase Agreement, dated as of December 17, 2021, by and among</w:t>
              </w:r>
            </w:hyperlink>
          </w:p>
        </w:tc>
      </w:tr>
      <w:tr>
        <w:trPr>
          <w:trHeight w:val="107"/>
        </w:trPr>
        <w:tc>
          <w:tcPr>
            <w:tcW w:w="1000" w:type="dxa"/>
            <w:vAlign w:val="bottom"/>
          </w:tcPr>
          <w:p>
            <w:pPr>
              <w:spacing w:after="0"/>
              <w:rPr>
                <w:sz w:val="9"/>
                <w:szCs w:val="9"/>
                <w:color w:val="auto"/>
              </w:rPr>
            </w:pPr>
          </w:p>
        </w:tc>
        <w:tc>
          <w:tcPr>
            <w:tcW w:w="6020" w:type="dxa"/>
            <w:vAlign w:val="bottom"/>
            <w:tcBorders>
              <w:top w:val="single" w:sz="8" w:color="0000FF"/>
            </w:tcBorders>
            <w:gridSpan w:val="32"/>
          </w:tcPr>
          <w:p>
            <w:pPr>
              <w:spacing w:after="0" w:line="107" w:lineRule="exact"/>
              <w:rPr>
                <w:rFonts w:ascii="Times New Roman" w:cs="Times New Roman" w:eastAsia="Times New Roman" w:hAnsi="Times New Roman"/>
                <w:sz w:val="12"/>
                <w:szCs w:val="12"/>
                <w:color w:val="0000FF"/>
              </w:rPr>
            </w:pPr>
            <w:hyperlink r:id="rId289">
              <w:r>
                <w:rPr>
                  <w:rFonts w:ascii="Times New Roman" w:cs="Times New Roman" w:eastAsia="Times New Roman" w:hAnsi="Times New Roman"/>
                  <w:sz w:val="12"/>
                  <w:szCs w:val="12"/>
                  <w:color w:val="0000FF"/>
                </w:rPr>
                <w:t>Lighthouse Renewable Class A LLC, Clearway Renew LLC and Clearway Energy Operating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90">
              <w:r>
                <w:rPr>
                  <w:rFonts w:ascii="Times New Roman" w:cs="Times New Roman" w:eastAsia="Times New Roman" w:hAnsi="Times New Roman"/>
                  <w:sz w:val="13"/>
                  <w:szCs w:val="13"/>
                  <w:color w:val="0000FF"/>
                </w:rPr>
                <w:t>First Amendment to Membership Interest Purchase Agreement, dated as of December 29, 2021, by and among</w:t>
              </w:r>
            </w:hyperlink>
          </w:p>
        </w:tc>
      </w:tr>
      <w:tr>
        <w:trPr>
          <w:trHeight w:val="107"/>
        </w:trPr>
        <w:tc>
          <w:tcPr>
            <w:tcW w:w="1000" w:type="dxa"/>
            <w:vAlign w:val="bottom"/>
          </w:tcPr>
          <w:p>
            <w:pPr>
              <w:spacing w:after="0"/>
              <w:rPr>
                <w:sz w:val="9"/>
                <w:szCs w:val="9"/>
                <w:color w:val="auto"/>
              </w:rPr>
            </w:pPr>
          </w:p>
        </w:tc>
        <w:tc>
          <w:tcPr>
            <w:tcW w:w="6020" w:type="dxa"/>
            <w:vAlign w:val="bottom"/>
            <w:tcBorders>
              <w:top w:val="single" w:sz="8" w:color="0000FF"/>
            </w:tcBorders>
            <w:gridSpan w:val="32"/>
          </w:tcPr>
          <w:p>
            <w:pPr>
              <w:spacing w:after="0" w:line="107" w:lineRule="exact"/>
              <w:rPr>
                <w:rFonts w:ascii="Times New Roman" w:cs="Times New Roman" w:eastAsia="Times New Roman" w:hAnsi="Times New Roman"/>
                <w:sz w:val="12"/>
                <w:szCs w:val="12"/>
                <w:color w:val="0000FF"/>
              </w:rPr>
            </w:pPr>
            <w:hyperlink r:id="rId290">
              <w:r>
                <w:rPr>
                  <w:rFonts w:ascii="Times New Roman" w:cs="Times New Roman" w:eastAsia="Times New Roman" w:hAnsi="Times New Roman"/>
                  <w:sz w:val="12"/>
                  <w:szCs w:val="12"/>
                  <w:color w:val="0000FF"/>
                </w:rPr>
                <w:t>Lighthouse Renewable Class A LLC and Clearway Renew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424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w w:val="97"/>
              </w:rPr>
            </w:pPr>
            <w:hyperlink r:id="rId291">
              <w:r>
                <w:rPr>
                  <w:rFonts w:ascii="Times New Roman" w:cs="Times New Roman" w:eastAsia="Times New Roman" w:hAnsi="Times New Roman"/>
                  <w:sz w:val="13"/>
                  <w:szCs w:val="13"/>
                  <w:color w:val="0000FF"/>
                  <w:w w:val="97"/>
                </w:rPr>
                <w:t>Clearway Energy, Inc. Involuntary Severance Plan, effective as of January 1, 2022.</w:t>
              </w:r>
            </w:hyperlink>
          </w:p>
        </w:tc>
        <w:tc>
          <w:tcPr>
            <w:tcW w:w="1840" w:type="dxa"/>
            <w:vAlign w:val="bottom"/>
            <w:gridSpan w:val="19"/>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92">
              <w:r>
                <w:rPr>
                  <w:rFonts w:ascii="Times New Roman" w:cs="Times New Roman" w:eastAsia="Times New Roman" w:hAnsi="Times New Roman"/>
                  <w:sz w:val="13"/>
                  <w:szCs w:val="13"/>
                  <w:color w:val="0000FF"/>
                </w:rPr>
                <w:t>Clearway Energy, Inc. Key Management Change-in-Control and General Severance Plan, effective as of January</w:t>
              </w:r>
            </w:hyperlink>
          </w:p>
        </w:tc>
      </w:tr>
      <w:tr>
        <w:trPr>
          <w:trHeight w:val="107"/>
        </w:trPr>
        <w:tc>
          <w:tcPr>
            <w:tcW w:w="1000" w:type="dxa"/>
            <w:vAlign w:val="bottom"/>
          </w:tcPr>
          <w:p>
            <w:pPr>
              <w:spacing w:after="0"/>
              <w:rPr>
                <w:sz w:val="9"/>
                <w:szCs w:val="9"/>
                <w:color w:val="auto"/>
              </w:rPr>
            </w:pPr>
          </w:p>
        </w:tc>
        <w:tc>
          <w:tcPr>
            <w:tcW w:w="42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92">
              <w:r>
                <w:rPr>
                  <w:rFonts w:ascii="Times New Roman" w:cs="Times New Roman" w:eastAsia="Times New Roman" w:hAnsi="Times New Roman"/>
                  <w:sz w:val="12"/>
                  <w:szCs w:val="12"/>
                  <w:color w:val="0000FF"/>
                </w:rPr>
                <w:t>1, 2022.</w:t>
              </w:r>
            </w:hyperlink>
          </w:p>
        </w:tc>
        <w:tc>
          <w:tcPr>
            <w:tcW w:w="42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7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7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93">
              <w:r>
                <w:rPr>
                  <w:rFonts w:ascii="Times New Roman" w:cs="Times New Roman" w:eastAsia="Times New Roman" w:hAnsi="Times New Roman"/>
                  <w:sz w:val="13"/>
                  <w:szCs w:val="13"/>
                  <w:color w:val="0000FF"/>
                </w:rPr>
                <w:t>Clearway Energy, Inc. Executive Change-in-Control and General Severance Plan, effective as of January 1,</w:t>
              </w:r>
            </w:hyperlink>
          </w:p>
        </w:tc>
      </w:tr>
      <w:tr>
        <w:trPr>
          <w:trHeight w:val="107"/>
        </w:trPr>
        <w:tc>
          <w:tcPr>
            <w:tcW w:w="100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293">
              <w:r>
                <w:rPr>
                  <w:rFonts w:ascii="Times New Roman" w:cs="Times New Roman" w:eastAsia="Times New Roman" w:hAnsi="Times New Roman"/>
                  <w:sz w:val="12"/>
                  <w:szCs w:val="12"/>
                  <w:color w:val="0000FF"/>
                </w:rPr>
                <w:t>2022.</w:t>
              </w:r>
            </w:hyperlink>
          </w:p>
        </w:tc>
        <w:tc>
          <w:tcPr>
            <w:tcW w:w="120" w:type="dxa"/>
            <w:vAlign w:val="bottom"/>
            <w:tcBorders>
              <w:top w:val="single" w:sz="8" w:color="0000FF"/>
            </w:tcBorders>
          </w:tcPr>
          <w:p>
            <w:pPr>
              <w:spacing w:after="0"/>
              <w:rPr>
                <w:sz w:val="9"/>
                <w:szCs w:val="9"/>
                <w:color w:val="auto"/>
              </w:rPr>
            </w:pPr>
          </w:p>
        </w:tc>
        <w:tc>
          <w:tcPr>
            <w:tcW w:w="42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7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7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94">
              <w:r>
                <w:rPr>
                  <w:rFonts w:ascii="Times New Roman" w:cs="Times New Roman" w:eastAsia="Times New Roman" w:hAnsi="Times New Roman"/>
                  <w:sz w:val="13"/>
                  <w:szCs w:val="13"/>
                  <w:color w:val="0000FF"/>
                </w:rPr>
                <w:t>Membership Interest Purchase Agreement, dated as of December 23, 2022, by and between VP-Arica CE Seller</w:t>
              </w:r>
            </w:hyperlink>
          </w:p>
        </w:tc>
      </w:tr>
      <w:tr>
        <w:trPr>
          <w:trHeight w:val="107"/>
        </w:trPr>
        <w:tc>
          <w:tcPr>
            <w:tcW w:w="1000" w:type="dxa"/>
            <w:vAlign w:val="bottom"/>
          </w:tcPr>
          <w:p>
            <w:pPr>
              <w:spacing w:after="0"/>
              <w:rPr>
                <w:sz w:val="9"/>
                <w:szCs w:val="9"/>
                <w:color w:val="auto"/>
              </w:rPr>
            </w:pPr>
          </w:p>
        </w:tc>
        <w:tc>
          <w:tcPr>
            <w:tcW w:w="20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94">
              <w:r>
                <w:rPr>
                  <w:rFonts w:ascii="Times New Roman" w:cs="Times New Roman" w:eastAsia="Times New Roman" w:hAnsi="Times New Roman"/>
                  <w:sz w:val="12"/>
                  <w:szCs w:val="12"/>
                  <w:color w:val="0000FF"/>
                </w:rPr>
                <w:t>LLC and VP-Arica Parent Holdco LLC.</w:t>
              </w:r>
            </w:hyperlink>
          </w:p>
        </w:tc>
        <w:tc>
          <w:tcPr>
            <w:tcW w:w="392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95">
              <w:r>
                <w:rPr>
                  <w:rFonts w:ascii="Times New Roman" w:cs="Times New Roman" w:eastAsia="Times New Roman" w:hAnsi="Times New Roman"/>
                  <w:sz w:val="13"/>
                  <w:szCs w:val="13"/>
                  <w:color w:val="0000FF"/>
                </w:rPr>
                <w:t>Membership Interest Purchase Agreement, dated as of May 19, 2023, by and between Renew Development</w:t>
              </w:r>
            </w:hyperlink>
          </w:p>
        </w:tc>
      </w:tr>
      <w:tr>
        <w:trPr>
          <w:trHeight w:val="107"/>
        </w:trPr>
        <w:tc>
          <w:tcPr>
            <w:tcW w:w="1000" w:type="dxa"/>
            <w:vAlign w:val="bottom"/>
          </w:tcPr>
          <w:p>
            <w:pPr>
              <w:spacing w:after="0"/>
              <w:rPr>
                <w:sz w:val="9"/>
                <w:szCs w:val="9"/>
                <w:color w:val="auto"/>
              </w:rPr>
            </w:pPr>
          </w:p>
        </w:tc>
        <w:tc>
          <w:tcPr>
            <w:tcW w:w="260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95">
              <w:r>
                <w:rPr>
                  <w:rFonts w:ascii="Times New Roman" w:cs="Times New Roman" w:eastAsia="Times New Roman" w:hAnsi="Times New Roman"/>
                  <w:sz w:val="12"/>
                  <w:szCs w:val="12"/>
                  <w:color w:val="0000FF"/>
                </w:rPr>
                <w:t>HoldCo LLC and Cedar Creek Wind Holdco LLC.</w:t>
              </w:r>
            </w:hyperlink>
          </w:p>
        </w:tc>
        <w:tc>
          <w:tcPr>
            <w:tcW w:w="3200" w:type="dxa"/>
            <w:vAlign w:val="bottom"/>
            <w:tcBorders>
              <w:top w:val="single" w:sz="8" w:color="0000FF"/>
            </w:tcBorders>
            <w:gridSpan w:val="10"/>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96">
              <w:r>
                <w:rPr>
                  <w:rFonts w:ascii="Times New Roman" w:cs="Times New Roman" w:eastAsia="Times New Roman" w:hAnsi="Times New Roman"/>
                  <w:sz w:val="13"/>
                  <w:szCs w:val="13"/>
                  <w:color w:val="0000FF"/>
                </w:rPr>
                <w:t>Clearway Energy, Inc. Amended and Restated 2013 Equity Incentive Plan, as amended and restated effective</w:t>
              </w:r>
            </w:hyperlink>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tcBorders>
            <w:gridSpan w:val="28"/>
          </w:tcPr>
          <w:p>
            <w:pPr>
              <w:spacing w:after="0" w:line="107" w:lineRule="exact"/>
              <w:rPr>
                <w:rFonts w:ascii="Times New Roman" w:cs="Times New Roman" w:eastAsia="Times New Roman" w:hAnsi="Times New Roman"/>
                <w:sz w:val="12"/>
                <w:szCs w:val="12"/>
                <w:color w:val="0000FF"/>
              </w:rPr>
            </w:pPr>
            <w:hyperlink r:id="rId296">
              <w:r>
                <w:rPr>
                  <w:rFonts w:ascii="Times New Roman" w:cs="Times New Roman" w:eastAsia="Times New Roman" w:hAnsi="Times New Roman"/>
                  <w:sz w:val="12"/>
                  <w:szCs w:val="12"/>
                  <w:color w:val="0000FF"/>
                </w:rPr>
                <w:t>January 1, 2024.</w:t>
              </w:r>
            </w:hyperlink>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97">
              <w:r>
                <w:rPr>
                  <w:rFonts w:ascii="Times New Roman" w:cs="Times New Roman" w:eastAsia="Times New Roman" w:hAnsi="Times New Roman"/>
                  <w:sz w:val="13"/>
                  <w:szCs w:val="13"/>
                  <w:color w:val="0000FF"/>
                </w:rPr>
                <w:t>Clearway Energy, Inc. Annual Incentive Plan, as amended and restated effective January 1, 2024.</w:t>
              </w:r>
            </w:hyperlink>
          </w:p>
        </w:tc>
      </w:tr>
      <w:tr>
        <w:trPr>
          <w:trHeight w:val="20"/>
        </w:trPr>
        <w:tc>
          <w:tcPr>
            <w:tcW w:w="10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98">
              <w:r>
                <w:rPr>
                  <w:rFonts w:ascii="Times New Roman" w:cs="Times New Roman" w:eastAsia="Times New Roman" w:hAnsi="Times New Roman"/>
                  <w:sz w:val="13"/>
                  <w:szCs w:val="13"/>
                  <w:color w:val="0000FF"/>
                </w:rPr>
                <w:t>Separation Agreement and General Release, dated as of April 30, 2024, by and between Clearway Energy, Inc.</w:t>
              </w:r>
            </w:hyperlink>
          </w:p>
        </w:tc>
      </w:tr>
      <w:tr>
        <w:trPr>
          <w:trHeight w:val="107"/>
        </w:trPr>
        <w:tc>
          <w:tcPr>
            <w:tcW w:w="1000" w:type="dxa"/>
            <w:vAlign w:val="bottom"/>
          </w:tcPr>
          <w:p>
            <w:pPr>
              <w:spacing w:after="0"/>
              <w:rPr>
                <w:sz w:val="9"/>
                <w:szCs w:val="9"/>
                <w:color w:val="auto"/>
              </w:rPr>
            </w:pPr>
          </w:p>
        </w:tc>
        <w:tc>
          <w:tcPr>
            <w:tcW w:w="118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98">
              <w:r>
                <w:rPr>
                  <w:rFonts w:ascii="Times New Roman" w:cs="Times New Roman" w:eastAsia="Times New Roman" w:hAnsi="Times New Roman"/>
                  <w:sz w:val="12"/>
                  <w:szCs w:val="12"/>
                  <w:color w:val="0000FF"/>
                </w:rPr>
                <w:t>and Christopher Sotos.</w:t>
              </w:r>
            </w:hyperlink>
          </w:p>
        </w:tc>
        <w:tc>
          <w:tcPr>
            <w:tcW w:w="470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299">
              <w:r>
                <w:rPr>
                  <w:rFonts w:ascii="Times New Roman" w:cs="Times New Roman" w:eastAsia="Times New Roman" w:hAnsi="Times New Roman"/>
                  <w:sz w:val="13"/>
                  <w:szCs w:val="13"/>
                  <w:color w:val="0000FF"/>
                </w:rPr>
                <w:t>Amended and Restated Employment Agreement, dated as of April 30, 2024, by and between Clearway Energy</w:t>
              </w:r>
            </w:hyperlink>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bottom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99">
              <w:r>
                <w:rPr>
                  <w:rFonts w:ascii="Times New Roman" w:cs="Times New Roman" w:eastAsia="Times New Roman" w:hAnsi="Times New Roman"/>
                  <w:sz w:val="12"/>
                  <w:szCs w:val="12"/>
                  <w:color w:val="0000FF"/>
                </w:rPr>
                <w:t>Group LLC, Clearway Energy, Inc., GIP III Zephyr Management Partners, L.P., GIP III Zephyr Midco Holdings,</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80" w:type="dxa"/>
            <w:vAlign w:val="bottom"/>
            <w:tcBorders>
              <w:bottom w:val="single" w:sz="8" w:color="0000FF"/>
            </w:tcBorders>
            <w:gridSpan w:val="4"/>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1300" w:type="dxa"/>
            <w:vAlign w:val="bottom"/>
            <w:tcBorders>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99">
              <w:r>
                <w:rPr>
                  <w:rFonts w:ascii="Times New Roman" w:cs="Times New Roman" w:eastAsia="Times New Roman" w:hAnsi="Times New Roman"/>
                  <w:sz w:val="12"/>
                  <w:szCs w:val="12"/>
                  <w:color w:val="0000FF"/>
                </w:rPr>
                <w:t>L.P. and Craig Cornelius.</w:t>
              </w:r>
            </w:hyperlink>
          </w:p>
        </w:tc>
        <w:tc>
          <w:tcPr>
            <w:tcW w:w="4740" w:type="dxa"/>
            <w:vAlign w:val="bottom"/>
            <w:gridSpan w:val="2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300">
              <w:r>
                <w:rPr>
                  <w:rFonts w:ascii="Times New Roman" w:cs="Times New Roman" w:eastAsia="Times New Roman" w:hAnsi="Times New Roman"/>
                  <w:sz w:val="13"/>
                  <w:szCs w:val="13"/>
                  <w:color w:val="0000FF"/>
                </w:rPr>
                <w:t>Third Amended and Restated Master Services Agreement and Payroll Sharing Agreement, dated as of February</w:t>
              </w:r>
            </w:hyperlink>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30"/>
          </w:tcPr>
          <w:p>
            <w:pPr>
              <w:spacing w:after="0" w:line="107" w:lineRule="exact"/>
              <w:rPr>
                <w:rFonts w:ascii="Times New Roman" w:cs="Times New Roman" w:eastAsia="Times New Roman" w:hAnsi="Times New Roman"/>
                <w:sz w:val="12"/>
                <w:szCs w:val="12"/>
                <w:color w:val="0000FF"/>
              </w:rPr>
            </w:pPr>
            <w:hyperlink r:id="rId300">
              <w:r>
                <w:rPr>
                  <w:rFonts w:ascii="Times New Roman" w:cs="Times New Roman" w:eastAsia="Times New Roman" w:hAnsi="Times New Roman"/>
                  <w:sz w:val="12"/>
                  <w:szCs w:val="12"/>
                  <w:color w:val="0000FF"/>
                </w:rPr>
                <w:t>13, 2025, by and among Clearway Energy, Inc., Clearway Energy Finance Inc., Clearway Energy LLC,</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300">
              <w:r>
                <w:rPr>
                  <w:rFonts w:ascii="Times New Roman" w:cs="Times New Roman" w:eastAsia="Times New Roman" w:hAnsi="Times New Roman"/>
                  <w:sz w:val="12"/>
                  <w:szCs w:val="12"/>
                  <w:color w:val="0000FF"/>
                </w:rPr>
                <w:t>Clearway Energy Operating LLC and Clearway Energy Group LLC.</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301">
              <w:r>
                <w:rPr>
                  <w:rFonts w:ascii="Times New Roman" w:cs="Times New Roman" w:eastAsia="Times New Roman" w:hAnsi="Times New Roman"/>
                  <w:sz w:val="13"/>
                  <w:szCs w:val="13"/>
                  <w:color w:val="0000FF"/>
                </w:rPr>
                <w:t>Consulting Agreement, dated as of June 20, 2024, by and between Clearway Energy, Inc. and Christopher Sotos.</w:t>
              </w:r>
            </w:hyperlink>
          </w:p>
        </w:tc>
      </w:tr>
      <w:tr>
        <w:trPr>
          <w:trHeight w:val="20"/>
        </w:trPr>
        <w:tc>
          <w:tcPr>
            <w:tcW w:w="1000" w:type="dxa"/>
            <w:vAlign w:val="bottom"/>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10.18*^</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300">
              <w:r>
                <w:rPr>
                  <w:rFonts w:ascii="Times New Roman" w:cs="Times New Roman" w:eastAsia="Times New Roman" w:hAnsi="Times New Roman"/>
                  <w:sz w:val="13"/>
                  <w:szCs w:val="13"/>
                  <w:color w:val="0000FF"/>
                </w:rPr>
                <w:t>Membership Interest Purchase Agreement, dated as of June 27, 2024, by and between D1-LV CE Seller LLC and</w:t>
              </w:r>
            </w:hyperlink>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300">
              <w:r>
                <w:rPr>
                  <w:rFonts w:ascii="Times New Roman" w:cs="Times New Roman" w:eastAsia="Times New Roman" w:hAnsi="Times New Roman"/>
                  <w:sz w:val="12"/>
                  <w:szCs w:val="12"/>
                  <w:color w:val="0000FF"/>
                </w:rPr>
                <w:t>LV-Daggett Parent Holdco LLC.</w:t>
              </w:r>
            </w:hyperlink>
          </w:p>
        </w:tc>
        <w:tc>
          <w:tcPr>
            <w:tcW w:w="12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10.19</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302">
              <w:r>
                <w:rPr>
                  <w:rFonts w:ascii="Times New Roman" w:cs="Times New Roman" w:eastAsia="Times New Roman" w:hAnsi="Times New Roman"/>
                  <w:sz w:val="13"/>
                  <w:szCs w:val="13"/>
                  <w:color w:val="0000FF"/>
                </w:rPr>
                <w:t>Second Amended and Restated Exchange Agreement, dated as of October 28, 2024, by and among Clearway</w:t>
              </w:r>
            </w:hyperlink>
          </w:p>
        </w:tc>
      </w:tr>
      <w:tr>
        <w:trPr>
          <w:trHeight w:val="107"/>
        </w:trPr>
        <w:tc>
          <w:tcPr>
            <w:tcW w:w="1000" w:type="dxa"/>
            <w:vAlign w:val="bottom"/>
          </w:tcPr>
          <w:p>
            <w:pPr>
              <w:spacing w:after="0"/>
              <w:rPr>
                <w:sz w:val="9"/>
                <w:szCs w:val="9"/>
                <w:color w:val="auto"/>
              </w:rPr>
            </w:pPr>
          </w:p>
        </w:tc>
        <w:tc>
          <w:tcPr>
            <w:tcW w:w="3640" w:type="dxa"/>
            <w:vAlign w:val="bottom"/>
            <w:tcBorders>
              <w:top w:val="single" w:sz="8" w:color="0000FF"/>
              <w:bottom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302">
              <w:r>
                <w:rPr>
                  <w:rFonts w:ascii="Times New Roman" w:cs="Times New Roman" w:eastAsia="Times New Roman" w:hAnsi="Times New Roman"/>
                  <w:sz w:val="12"/>
                  <w:szCs w:val="12"/>
                  <w:color w:val="0000FF"/>
                </w:rPr>
                <w:t>Energy, Inc., Clearway Energy LLC and Clearway Energy Group LLC.</w:t>
              </w:r>
            </w:hyperlink>
          </w:p>
        </w:tc>
        <w:tc>
          <w:tcPr>
            <w:tcW w:w="226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10.20</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303">
              <w:r>
                <w:rPr>
                  <w:rFonts w:ascii="Times New Roman" w:cs="Times New Roman" w:eastAsia="Times New Roman" w:hAnsi="Times New Roman"/>
                  <w:sz w:val="13"/>
                  <w:szCs w:val="13"/>
                  <w:color w:val="0000FF"/>
                </w:rPr>
                <w:t>Equity Distribution Agreement, dated as of August 6, 2025, by and among Clearway Energy, Inc., Clearway</w:t>
              </w:r>
            </w:hyperlink>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bottom w:val="single" w:sz="8" w:color="0000FF"/>
            </w:tcBorders>
            <w:gridSpan w:val="27"/>
          </w:tcPr>
          <w:p>
            <w:pPr>
              <w:spacing w:after="0" w:line="107" w:lineRule="exact"/>
              <w:rPr>
                <w:rFonts w:ascii="Times New Roman" w:cs="Times New Roman" w:eastAsia="Times New Roman" w:hAnsi="Times New Roman"/>
                <w:sz w:val="12"/>
                <w:szCs w:val="12"/>
                <w:color w:val="0000FF"/>
              </w:rPr>
            </w:pPr>
            <w:hyperlink r:id="rId303">
              <w:r>
                <w:rPr>
                  <w:rFonts w:ascii="Times New Roman" w:cs="Times New Roman" w:eastAsia="Times New Roman" w:hAnsi="Times New Roman"/>
                  <w:sz w:val="12"/>
                  <w:szCs w:val="12"/>
                  <w:color w:val="0000FF"/>
                </w:rPr>
                <w:t>Energy LLC, Morgan Stanley &amp; Co. LLC, BofA Securities, Inc., Citigroup Global Markets Inc., J.P. Morgan</w:t>
              </w:r>
            </w:hyperlink>
          </w:p>
        </w:tc>
        <w:tc>
          <w:tcPr>
            <w:tcW w:w="80" w:type="dxa"/>
            <w:vAlign w:val="bottom"/>
            <w:tcBorders>
              <w:bottom w:val="single" w:sz="8" w:color="0000FF"/>
            </w:tcBorders>
            <w:gridSpan w:val="4"/>
          </w:tcPr>
          <w:p>
            <w:pPr>
              <w:spacing w:after="0"/>
              <w:rPr>
                <w:sz w:val="9"/>
                <w:szCs w:val="9"/>
                <w:color w:val="auto"/>
              </w:rPr>
            </w:pPr>
          </w:p>
        </w:tc>
        <w:tc>
          <w:tcPr>
            <w:tcW w:w="60" w:type="dxa"/>
            <w:vAlign w:val="bottom"/>
            <w:tcBorders>
              <w:bottom w:val="single" w:sz="8" w:color="0000FF"/>
            </w:tcBorders>
            <w:gridSpan w:val="3"/>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2520" w:type="dxa"/>
            <w:vAlign w:val="bottom"/>
            <w:tcBorders>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303">
              <w:r>
                <w:rPr>
                  <w:rFonts w:ascii="Times New Roman" w:cs="Times New Roman" w:eastAsia="Times New Roman" w:hAnsi="Times New Roman"/>
                  <w:sz w:val="12"/>
                  <w:szCs w:val="12"/>
                  <w:color w:val="0000FF"/>
                </w:rPr>
                <w:t>Securities LLC and Wells Fargo Securities, LLC.</w:t>
              </w:r>
            </w:hyperlink>
          </w:p>
        </w:tc>
        <w:tc>
          <w:tcPr>
            <w:tcW w:w="3540" w:type="dxa"/>
            <w:vAlign w:val="bottom"/>
            <w:gridSpan w:val="24"/>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6080" w:type="dxa"/>
            <w:vAlign w:val="bottom"/>
            <w:gridSpan w:val="35"/>
          </w:tcPr>
          <w:p>
            <w:pPr>
              <w:spacing w:after="0"/>
              <w:rPr>
                <w:rFonts w:ascii="Times New Roman" w:cs="Times New Roman" w:eastAsia="Times New Roman" w:hAnsi="Times New Roman"/>
                <w:sz w:val="13"/>
                <w:szCs w:val="13"/>
                <w:color w:val="0000FF"/>
              </w:rPr>
            </w:pPr>
            <w:hyperlink r:id="rId304">
              <w:r>
                <w:rPr>
                  <w:rFonts w:ascii="Times New Roman" w:cs="Times New Roman" w:eastAsia="Times New Roman" w:hAnsi="Times New Roman"/>
                  <w:sz w:val="13"/>
                  <w:szCs w:val="13"/>
                  <w:color w:val="0000FF"/>
                </w:rPr>
                <w:t>Purchase and Sale Agreement, dated as of October 3, 2025, by and among Cardinal Purchaser LLC, Deriva</w:t>
              </w:r>
            </w:hyperlink>
          </w:p>
        </w:tc>
      </w:tr>
      <w:tr>
        <w:trPr>
          <w:trHeight w:val="107"/>
        </w:trPr>
        <w:tc>
          <w:tcPr>
            <w:tcW w:w="1000" w:type="dxa"/>
            <w:vAlign w:val="bottom"/>
          </w:tcPr>
          <w:p>
            <w:pPr>
              <w:spacing w:after="0"/>
              <w:rPr>
                <w:sz w:val="9"/>
                <w:szCs w:val="9"/>
                <w:color w:val="auto"/>
              </w:rPr>
            </w:pPr>
          </w:p>
        </w:tc>
        <w:tc>
          <w:tcPr>
            <w:tcW w:w="334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304">
              <w:r>
                <w:rPr>
                  <w:rFonts w:ascii="Times New Roman" w:cs="Times New Roman" w:eastAsia="Times New Roman" w:hAnsi="Times New Roman"/>
                  <w:sz w:val="12"/>
                  <w:szCs w:val="12"/>
                  <w:color w:val="0000FF"/>
                </w:rPr>
                <w:t>Energy, LLC, Symphony Breeze, LLC and Symphony Sun, LLC.</w:t>
              </w:r>
            </w:hyperlink>
          </w:p>
        </w:tc>
        <w:tc>
          <w:tcPr>
            <w:tcW w:w="2660" w:type="dxa"/>
            <w:vAlign w:val="bottom"/>
            <w:tcBorders>
              <w:top w:val="single" w:sz="8" w:color="0000FF"/>
            </w:tcBorders>
            <w:gridSpan w:val="18"/>
          </w:tcPr>
          <w:p>
            <w:pPr>
              <w:spacing w:after="0"/>
              <w:rPr>
                <w:sz w:val="9"/>
                <w:szCs w:val="9"/>
                <w:color w:val="auto"/>
              </w:rPr>
            </w:pPr>
          </w:p>
        </w:tc>
        <w:tc>
          <w:tcPr>
            <w:tcW w:w="80" w:type="dxa"/>
            <w:vAlign w:val="bottom"/>
            <w:gridSpan w:val="4"/>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October 26,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December 1, 2021.</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January 18,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January 18,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10.5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10.6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10.7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29,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May 24,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10.31 to the Company’s Annual Report on Form 10-K filed on February 22,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10.32 to the Company’s Annual Report on Form 10-K filed on February 22,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April 30,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April 30, 2024.</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10.30 to the Company’s Annual Report on Form 10-K filed on February 25, 2025.</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July 30, 2024.</w:t>
      </w:r>
    </w:p>
    <w:p>
      <w:pPr>
        <w:spacing w:after="0" w:line="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July 30,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Quarterly Report on Form 10-Q filed on October 30,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1.1 to the Company’s Current Report on Form 8-K filed on August 6, 2025.</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October 6, 2025.</w:t>
      </w:r>
    </w:p>
    <w:p>
      <w:pPr>
        <w:spacing w:after="0" w:line="200"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57" w:name="page158"/>
    <w:bookmarkEnd w:id="157"/>
    <w:tbl>
      <w:tblPr>
        <w:tblLayout w:type="fixed"/>
        <w:tblInd w:w="21"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840" w:type="dxa"/>
            <w:vAlign w:val="bottom"/>
            <w:gridSpan w:val="1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10.22*^</w:t>
            </w:r>
          </w:p>
        </w:tc>
        <w:tc>
          <w:tcPr>
            <w:tcW w:w="5840" w:type="dxa"/>
            <w:vAlign w:val="bottom"/>
            <w:gridSpan w:val="12"/>
          </w:tcPr>
          <w:p>
            <w:pPr>
              <w:spacing w:after="0" w:line="143" w:lineRule="exact"/>
              <w:rPr>
                <w:rFonts w:ascii="Times New Roman" w:cs="Times New Roman" w:eastAsia="Times New Roman" w:hAnsi="Times New Roman"/>
                <w:sz w:val="13"/>
                <w:szCs w:val="13"/>
                <w:color w:val="0000FF"/>
              </w:rPr>
            </w:pPr>
            <w:hyperlink r:id="rId306">
              <w:r>
                <w:rPr>
                  <w:rFonts w:ascii="Times New Roman" w:cs="Times New Roman" w:eastAsia="Times New Roman" w:hAnsi="Times New Roman"/>
                  <w:sz w:val="13"/>
                  <w:szCs w:val="13"/>
                  <w:color w:val="0000FF"/>
                </w:rPr>
                <w:t>Purchase and Sale Agreement, dated as of October 3, 2025, by and among Cardinal JV Purchaser LLC, Fengate</w:t>
              </w:r>
            </w:hyperlink>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306">
              <w:r>
                <w:rPr>
                  <w:rFonts w:ascii="Times New Roman" w:cs="Times New Roman" w:eastAsia="Times New Roman" w:hAnsi="Times New Roman"/>
                  <w:sz w:val="12"/>
                  <w:szCs w:val="12"/>
                  <w:color w:val="0000FF"/>
                </w:rPr>
                <w:t>Cardinal Blocker LLC, Fengate Yield (VCOC) UBTI Blocker LLC, Deriva Energy, LLC, Symphony Breeze,</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1620" w:type="dxa"/>
            <w:vAlign w:val="bottom"/>
            <w:tcBorders>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06">
              <w:r>
                <w:rPr>
                  <w:rFonts w:ascii="Times New Roman" w:cs="Times New Roman" w:eastAsia="Times New Roman" w:hAnsi="Times New Roman"/>
                  <w:sz w:val="12"/>
                  <w:szCs w:val="12"/>
                  <w:color w:val="0000FF"/>
                </w:rPr>
                <w:t>LLC and Symphony Sun, LLC.</w:t>
              </w:r>
            </w:hyperlink>
          </w:p>
        </w:tc>
        <w:tc>
          <w:tcPr>
            <w:tcW w:w="4200" w:type="dxa"/>
            <w:vAlign w:val="bottom"/>
            <w:gridSpan w:val="9"/>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10.23*^</w:t>
            </w:r>
          </w:p>
        </w:tc>
        <w:tc>
          <w:tcPr>
            <w:tcW w:w="5840" w:type="dxa"/>
            <w:vAlign w:val="bottom"/>
            <w:gridSpan w:val="12"/>
          </w:tcPr>
          <w:p>
            <w:pPr>
              <w:spacing w:after="0"/>
              <w:rPr>
                <w:rFonts w:ascii="Times New Roman" w:cs="Times New Roman" w:eastAsia="Times New Roman" w:hAnsi="Times New Roman"/>
                <w:sz w:val="13"/>
                <w:szCs w:val="13"/>
                <w:color w:val="0000FF"/>
              </w:rPr>
            </w:pPr>
            <w:hyperlink r:id="rId307">
              <w:r>
                <w:rPr>
                  <w:rFonts w:ascii="Times New Roman" w:cs="Times New Roman" w:eastAsia="Times New Roman" w:hAnsi="Times New Roman"/>
                  <w:sz w:val="13"/>
                  <w:szCs w:val="13"/>
                  <w:color w:val="0000FF"/>
                </w:rPr>
                <w:t>Membership Interest Purchase Agreement, dated as of November 24, 2025, by and between RS2-Spindle CE</w:t>
              </w:r>
            </w:hyperlink>
          </w:p>
        </w:tc>
      </w:tr>
      <w:tr>
        <w:trPr>
          <w:trHeight w:val="107"/>
        </w:trPr>
        <w:tc>
          <w:tcPr>
            <w:tcW w:w="1000" w:type="dxa"/>
            <w:vAlign w:val="bottom"/>
          </w:tcPr>
          <w:p>
            <w:pPr>
              <w:spacing w:after="0"/>
              <w:rPr>
                <w:sz w:val="9"/>
                <w:szCs w:val="9"/>
                <w:color w:val="auto"/>
              </w:rPr>
            </w:pPr>
          </w:p>
        </w:tc>
        <w:tc>
          <w:tcPr>
            <w:tcW w:w="232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07">
              <w:r>
                <w:rPr>
                  <w:rFonts w:ascii="Times New Roman" w:cs="Times New Roman" w:eastAsia="Times New Roman" w:hAnsi="Times New Roman"/>
                  <w:sz w:val="12"/>
                  <w:szCs w:val="12"/>
                  <w:color w:val="0000FF"/>
                </w:rPr>
                <w:t>Seller LLC and RS2-Spindle Purchaser LLC.</w:t>
              </w:r>
            </w:hyperlink>
          </w:p>
        </w:tc>
        <w:tc>
          <w:tcPr>
            <w:tcW w:w="3460" w:type="dxa"/>
            <w:vAlign w:val="bottom"/>
            <w:tcBorders>
              <w:top w:val="single" w:sz="8" w:color="0000FF"/>
            </w:tcBorders>
            <w:gridSpan w:val="5"/>
          </w:tcPr>
          <w:p>
            <w:pPr>
              <w:spacing w:after="0"/>
              <w:rPr>
                <w:sz w:val="9"/>
                <w:szCs w:val="9"/>
                <w:color w:val="auto"/>
              </w:rPr>
            </w:pPr>
          </w:p>
        </w:tc>
        <w:tc>
          <w:tcPr>
            <w:tcW w:w="60" w:type="dxa"/>
            <w:vAlign w:val="bottom"/>
            <w:gridSpan w:val="3"/>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16.1</w:t>
            </w:r>
          </w:p>
        </w:tc>
        <w:tc>
          <w:tcPr>
            <w:tcW w:w="5840" w:type="dxa"/>
            <w:vAlign w:val="bottom"/>
            <w:gridSpan w:val="12"/>
          </w:tcPr>
          <w:p>
            <w:pPr>
              <w:spacing w:after="0"/>
              <w:rPr>
                <w:rFonts w:ascii="Times New Roman" w:cs="Times New Roman" w:eastAsia="Times New Roman" w:hAnsi="Times New Roman"/>
                <w:sz w:val="13"/>
                <w:szCs w:val="13"/>
                <w:color w:val="0000FF"/>
              </w:rPr>
            </w:pPr>
            <w:hyperlink r:id="rId308">
              <w:r>
                <w:rPr>
                  <w:rFonts w:ascii="Times New Roman" w:cs="Times New Roman" w:eastAsia="Times New Roman" w:hAnsi="Times New Roman"/>
                  <w:sz w:val="13"/>
                  <w:szCs w:val="13"/>
                  <w:color w:val="0000FF"/>
                </w:rPr>
                <w:t>Letter from Ernst &amp; Young LLP, dated May 10, 2024.</w:t>
              </w:r>
            </w:hyperlink>
          </w:p>
        </w:tc>
      </w:tr>
      <w:tr>
        <w:trPr>
          <w:trHeight w:val="20"/>
        </w:trPr>
        <w:tc>
          <w:tcPr>
            <w:tcW w:w="10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19.1</w:t>
            </w:r>
          </w:p>
        </w:tc>
        <w:tc>
          <w:tcPr>
            <w:tcW w:w="3480" w:type="dxa"/>
            <w:vAlign w:val="bottom"/>
            <w:tcBorders>
              <w:bottom w:val="single" w:sz="8" w:color="0000FF"/>
            </w:tcBorders>
            <w:gridSpan w:val="8"/>
          </w:tcPr>
          <w:p>
            <w:pPr>
              <w:spacing w:after="0"/>
              <w:rPr>
                <w:rFonts w:ascii="Times New Roman" w:cs="Times New Roman" w:eastAsia="Times New Roman" w:hAnsi="Times New Roman"/>
                <w:sz w:val="13"/>
                <w:szCs w:val="13"/>
                <w:color w:val="0000FF"/>
                <w:w w:val="97"/>
              </w:rPr>
            </w:pPr>
            <w:hyperlink r:id="rId309">
              <w:r>
                <w:rPr>
                  <w:rFonts w:ascii="Times New Roman" w:cs="Times New Roman" w:eastAsia="Times New Roman" w:hAnsi="Times New Roman"/>
                  <w:sz w:val="13"/>
                  <w:szCs w:val="13"/>
                  <w:color w:val="0000FF"/>
                  <w:w w:val="97"/>
                </w:rPr>
                <w:t>Clearway Energy, Inc. Securities Trading and Nondisclosure Policy.</w:t>
              </w:r>
            </w:hyperlink>
          </w:p>
        </w:tc>
        <w:tc>
          <w:tcPr>
            <w:tcW w:w="2360" w:type="dxa"/>
            <w:vAlign w:val="bottom"/>
            <w:gridSpan w:val="4"/>
          </w:tcPr>
          <w:p>
            <w:pPr>
              <w:spacing w:after="0"/>
              <w:rPr>
                <w:sz w:val="24"/>
                <w:szCs w:val="24"/>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58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Subsidiaries of Clearway Energy LLC.</w:t>
            </w: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24.1</w:t>
            </w:r>
          </w:p>
        </w:tc>
        <w:tc>
          <w:tcPr>
            <w:tcW w:w="9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5"/>
              </w:rPr>
              <w:t>Power of Attorney.</w:t>
            </w:r>
          </w:p>
        </w:tc>
        <w:tc>
          <w:tcPr>
            <w:tcW w:w="1000" w:type="dxa"/>
            <w:vAlign w:val="bottom"/>
            <w:tcBorders>
              <w:top w:val="single" w:sz="8" w:color="0000FF"/>
            </w:tcBorders>
            <w:gridSpan w:val="2"/>
          </w:tcPr>
          <w:p>
            <w:pPr>
              <w:spacing w:after="0"/>
              <w:rPr>
                <w:sz w:val="13"/>
                <w:szCs w:val="13"/>
                <w:color w:val="auto"/>
              </w:rPr>
            </w:pPr>
          </w:p>
        </w:tc>
        <w:tc>
          <w:tcPr>
            <w:tcW w:w="3860" w:type="dxa"/>
            <w:vAlign w:val="bottom"/>
            <w:gridSpan w:val="9"/>
          </w:tcPr>
          <w:p>
            <w:pPr>
              <w:spacing w:after="0"/>
              <w:rPr>
                <w:sz w:val="13"/>
                <w:szCs w:val="13"/>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29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Craig Cornelius.</w:t>
            </w:r>
          </w:p>
        </w:tc>
        <w:tc>
          <w:tcPr>
            <w:tcW w:w="2860" w:type="dxa"/>
            <w:vAlign w:val="bottom"/>
            <w:gridSpan w:val="6"/>
          </w:tcPr>
          <w:p>
            <w:pPr>
              <w:spacing w:after="0"/>
              <w:rPr>
                <w:sz w:val="13"/>
                <w:szCs w:val="13"/>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3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2780" w:type="dxa"/>
            <w:vAlign w:val="bottom"/>
            <w:gridSpan w:val="5"/>
          </w:tcPr>
          <w:p>
            <w:pPr>
              <w:spacing w:after="0"/>
              <w:rPr>
                <w:sz w:val="13"/>
                <w:szCs w:val="13"/>
                <w:color w:val="auto"/>
              </w:rPr>
            </w:pPr>
          </w:p>
        </w:tc>
      </w:tr>
    </w:tbl>
    <w:p>
      <w:pPr>
        <w:spacing w:after="0" w:line="21" w:lineRule="exact"/>
        <w:rPr>
          <w:sz w:val="20"/>
          <w:szCs w:val="20"/>
          <w:color w:val="auto"/>
        </w:rPr>
      </w:pPr>
    </w:p>
    <w:p>
      <w:pPr>
        <w:ind w:left="1021" w:hanging="1000"/>
        <w:spacing w:after="0"/>
        <w:tabs>
          <w:tab w:leader="none" w:pos="1021"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0000FF"/>
        </w:rPr>
        <w:t>Section 1350 Certification.</w:t>
      </w:r>
    </w:p>
    <w:p>
      <w:pPr>
        <w:spacing w:after="0" w:line="20" w:lineRule="exact"/>
        <w:rPr>
          <w:sz w:val="20"/>
          <w:szCs w:val="20"/>
          <w:color w:val="auto"/>
        </w:rPr>
      </w:pPr>
    </w:p>
    <w:p>
      <w:pPr>
        <w:ind w:left="1021" w:hanging="1000"/>
        <w:spacing w:after="0"/>
        <w:tabs>
          <w:tab w:leader="none" w:pos="1021" w:val="left"/>
        </w:tabs>
        <w:numPr>
          <w:ilvl w:val="0"/>
          <w:numId w:val="87"/>
        </w:numPr>
        <w:rPr>
          <w:rFonts w:ascii="Times New Roman" w:cs="Times New Roman" w:eastAsia="Times New Roman" w:hAnsi="Times New Roman"/>
          <w:sz w:val="13"/>
          <w:szCs w:val="13"/>
          <w:u w:val="single" w:color="auto"/>
          <w:color w:val="0000FF"/>
        </w:rPr>
      </w:pPr>
      <w:hyperlink r:id="rId310">
        <w:r>
          <w:rPr>
            <w:rFonts w:ascii="Times New Roman" w:cs="Times New Roman" w:eastAsia="Times New Roman" w:hAnsi="Times New Roman"/>
            <w:sz w:val="13"/>
            <w:szCs w:val="13"/>
            <w:u w:val="single" w:color="auto"/>
            <w:color w:val="0000FF"/>
          </w:rPr>
          <w:t>Clearway Energy, Inc. Policy on Recoupment of Incentive Compensation.</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October 6, 2025.</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 2025.</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16.1 to the Company’s Current Report on Form 8-K filed on May 10,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19.1 to the Company’s Annual Report on Form 10-K filed on February 25,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Included on the signature page of this Annual Report on Form 10-K.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Furnished herewith.</w:t>
      </w:r>
    </w:p>
    <w:p>
      <w:pPr>
        <w:spacing w:after="0" w:line="2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97 to the Company’s Annual Report on Form 10-K filed on February 22, 2024.</w:t>
      </w:r>
    </w:p>
    <w:p>
      <w:pPr>
        <w:spacing w:after="0" w:line="4" w:lineRule="exact"/>
        <w:rPr>
          <w:sz w:val="20"/>
          <w:szCs w:val="20"/>
          <w:color w:val="auto"/>
        </w:rPr>
      </w:pPr>
    </w:p>
    <w:p>
      <w:pPr>
        <w:sectPr>
          <w:pgSz w:w="11900" w:h="16838" w:orient="portrait"/>
          <w:cols w:equalWidth="0" w:num="2">
            <w:col w:w="6801" w:space="120"/>
            <w:col w:w="4300"/>
          </w:cols>
          <w:pgMar w:left="319" w:top="763" w:right="359" w:bottom="1440" w:gutter="0" w:footer="0" w:header="0"/>
        </w:sectPr>
      </w:pPr>
    </w:p>
    <w:tbl>
      <w:tblPr>
        <w:tblLayout w:type="fixed"/>
        <w:tblInd w:w="21" w:type="dxa"/>
        <w:tblCellMar>
          <w:top w:w="0" w:type="dxa"/>
          <w:left w:w="0" w:type="dxa"/>
          <w:bottom w:w="0" w:type="dxa"/>
          <w:right w:w="0" w:type="dxa"/>
        </w:tblCellMar>
      </w:tblPr>
      <w:tr>
        <w:trPr>
          <w:trHeight w:val="165"/>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INS</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70"/>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70"/>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CAL</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70"/>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70"/>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LAB</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70"/>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bl>
    <w:p>
      <w:pPr>
        <w:spacing w:after="0" w:line="4" w:lineRule="exact"/>
        <w:rPr>
          <w:sz w:val="20"/>
          <w:szCs w:val="20"/>
          <w:color w:val="auto"/>
        </w:rPr>
      </w:pPr>
    </w:p>
    <w:p>
      <w:pPr>
        <w:ind w:left="1021" w:right="4420" w:hanging="1000"/>
        <w:spacing w:after="0" w:line="235" w:lineRule="auto"/>
        <w:tabs>
          <w:tab w:leader="none" w:pos="1021"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w:t>
      </w:r>
      <w:r>
        <w:rPr>
          <w:rFonts w:ascii="Times New Roman" w:cs="Times New Roman" w:eastAsia="Times New Roman" w:hAnsi="Times New Roman"/>
          <w:sz w:val="13"/>
          <w:szCs w:val="13"/>
          <w:color w:val="212529"/>
        </w:rPr>
        <w:t>the cover page interactive data file does not appear in Exhibit 104 because its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12529"/>
        </w:rPr>
        <w:t>Inline XBRL tags are embedded within the Inline XBRL document)</w:t>
      </w:r>
    </w:p>
    <w:p>
      <w:pPr>
        <w:spacing w:after="0" w:line="142" w:lineRule="exact"/>
        <w:rPr>
          <w:rFonts w:ascii="Times New Roman" w:cs="Times New Roman" w:eastAsia="Times New Roman" w:hAnsi="Times New Roman"/>
          <w:sz w:val="13"/>
          <w:szCs w:val="13"/>
          <w:color w:val="auto"/>
        </w:rPr>
      </w:pPr>
    </w:p>
    <w:p>
      <w:pPr>
        <w:ind w:left="661" w:hanging="661"/>
        <w:spacing w:after="0"/>
        <w:tabs>
          <w:tab w:leader="none" w:pos="661"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exhibits that constitute compensatory plans or arrangements.</w:t>
      </w:r>
    </w:p>
    <w:p>
      <w:pPr>
        <w:spacing w:after="0" w:line="20" w:lineRule="exact"/>
        <w:rPr>
          <w:sz w:val="20"/>
          <w:szCs w:val="20"/>
          <w:color w:val="auto"/>
        </w:rPr>
      </w:pPr>
    </w:p>
    <w:p>
      <w:pPr>
        <w:ind w:left="661" w:right="220" w:hanging="661"/>
        <w:spacing w:after="0" w:line="235" w:lineRule="auto"/>
        <w:tabs>
          <w:tab w:leader="none" w:pos="661"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filing excludes schedules or similar attachments pursuant to Item 601(a)(5) of Regulation S-K, which the registrant agrees to furnish supplementary to the Securities and Exchange Commission upon request by the Commission.</w:t>
      </w:r>
    </w:p>
    <w:p>
      <w:pPr>
        <w:spacing w:after="0" w:line="4" w:lineRule="exact"/>
        <w:rPr>
          <w:sz w:val="20"/>
          <w:szCs w:val="20"/>
          <w:color w:val="auto"/>
        </w:rPr>
      </w:pPr>
    </w:p>
    <w:p>
      <w:pPr>
        <w:ind w:left="661" w:right="100" w:hanging="661"/>
        <w:spacing w:after="0" w:line="235" w:lineRule="auto"/>
        <w:tabs>
          <w:tab w:leader="none" w:pos="661"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portions of this exhibit have been redacted pursuant to Item 601(b)(10)(iv) of Regulation S-K because it (i) is not material and (ii) would likely cause competitive harm to the Registrant if disclosed. The registrant agrees to furnish supplementary an unredacted copy of this exhibit to the Securities and Exchange Commission upon request.</w:t>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1"/>
          </w:cols>
          <w:pgMar w:left="319" w:top="763" w:right="35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color w:val="auto"/>
        </w:rPr>
        <w:t>Item 16 — Form 10-K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7" w:right="1440"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firstLine="158"/>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CLEARWAY ENERGY LLC</w:t>
      </w:r>
    </w:p>
    <w:p>
      <w:pPr>
        <w:ind w:left="6780"/>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14605</wp:posOffset>
            </wp:positionV>
            <wp:extent cx="210185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3">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ind w:left="67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24, 2026</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244" w:lineRule="exact"/>
        <w:rPr>
          <w:sz w:val="20"/>
          <w:szCs w:val="20"/>
          <w:color w:val="auto"/>
        </w:rPr>
      </w:pPr>
    </w:p>
    <w:p>
      <w:pPr>
        <w:jc w:val="both"/>
        <w:ind w:firstLine="158"/>
        <w:spacing w:after="0" w:line="261"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Craig Cornelius,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01" w:lineRule="exact"/>
        <w:rPr>
          <w:sz w:val="20"/>
          <w:szCs w:val="20"/>
          <w:color w:val="auto"/>
        </w:rPr>
      </w:pPr>
    </w:p>
    <w:p>
      <w:pPr>
        <w:jc w:val="both"/>
        <w:ind w:firstLine="166"/>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Signatures</w:t>
            </w:r>
          </w:p>
        </w:tc>
        <w:tc>
          <w:tcPr>
            <w:tcW w:w="1940" w:type="dxa"/>
            <w:vAlign w:val="bottom"/>
          </w:tcPr>
          <w:p>
            <w:pPr>
              <w:spacing w:after="0"/>
              <w:rPr>
                <w:sz w:val="11"/>
                <w:szCs w:val="11"/>
                <w:color w:val="auto"/>
              </w:rPr>
            </w:pP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20"/>
        </w:trPr>
        <w:tc>
          <w:tcPr>
            <w:tcW w:w="2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02"/>
        </w:trPr>
        <w:tc>
          <w:tcPr>
            <w:tcW w:w="5120" w:type="dxa"/>
            <w:vAlign w:val="bottom"/>
            <w:tcBorders>
              <w:bottom w:val="single" w:sz="8" w:color="auto"/>
            </w:tcBorders>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/s/ CRAIG CORNELIUS</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167"/>
        </w:trPr>
        <w:tc>
          <w:tcPr>
            <w:tcW w:w="5120" w:type="dxa"/>
            <w:vAlign w:val="bottom"/>
            <w:gridSpan w:val="3"/>
          </w:tcPr>
          <w:p>
            <w:pPr>
              <w:jc w:val="center"/>
              <w:ind w:left="669"/>
              <w:spacing w:after="0"/>
              <w:rPr>
                <w:sz w:val="20"/>
                <w:szCs w:val="20"/>
                <w:color w:val="auto"/>
              </w:rPr>
            </w:pPr>
            <w:r>
              <w:rPr>
                <w:rFonts w:ascii="Times New Roman" w:cs="Times New Roman" w:eastAsia="Times New Roman" w:hAnsi="Times New Roman"/>
                <w:sz w:val="14"/>
                <w:szCs w:val="14"/>
                <w:color w:val="auto"/>
              </w:rPr>
              <w:t>Craig Cornelius</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w w:val="99"/>
              </w:rPr>
              <w:t>of Clearway Energy LLC (Principal Executive Officer)</w:t>
            </w:r>
          </w:p>
        </w:tc>
      </w:tr>
      <w:tr>
        <w:trPr>
          <w:trHeight w:val="184"/>
        </w:trPr>
        <w:tc>
          <w:tcPr>
            <w:tcW w:w="51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Date: February 24, 2026</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382"/>
        </w:trPr>
        <w:tc>
          <w:tcPr>
            <w:tcW w:w="5120" w:type="dxa"/>
            <w:vAlign w:val="bottom"/>
            <w:tcBorders>
              <w:bottom w:val="single" w:sz="8" w:color="auto"/>
            </w:tcBorders>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/s/ SARAH RUBENSTEIN</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tc>
      </w:tr>
      <w:tr>
        <w:trPr>
          <w:trHeight w:val="165"/>
        </w:trPr>
        <w:tc>
          <w:tcPr>
            <w:tcW w:w="512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Sarah Rubenstein</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of Clearway Energy LLC (Principal Financial and</w:t>
            </w:r>
          </w:p>
        </w:tc>
      </w:tr>
      <w:tr>
        <w:trPr>
          <w:trHeight w:val="186"/>
        </w:trPr>
        <w:tc>
          <w:tcPr>
            <w:tcW w:w="51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Date: February 24, 2026</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tc>
      </w:tr>
      <w:tr>
        <w:trPr>
          <w:trHeight w:val="382"/>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CLEARWAY ENERGY, INC.</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Sole Managing Member</w:t>
            </w:r>
          </w:p>
        </w:tc>
      </w:tr>
      <w:tr>
        <w:trPr>
          <w:trHeight w:val="382"/>
        </w:trPr>
        <w:tc>
          <w:tcPr>
            <w:tcW w:w="5120" w:type="dxa"/>
            <w:vAlign w:val="bottom"/>
            <w:tcBorders>
              <w:bottom w:val="single" w:sz="8" w:color="auto"/>
            </w:tcBorders>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/s/ CRAIG CORNELIUS</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167"/>
        </w:trPr>
        <w:tc>
          <w:tcPr>
            <w:tcW w:w="5120" w:type="dxa"/>
            <w:vAlign w:val="bottom"/>
            <w:gridSpan w:val="3"/>
          </w:tcPr>
          <w:p>
            <w:pPr>
              <w:jc w:val="center"/>
              <w:ind w:left="669"/>
              <w:spacing w:after="0"/>
              <w:rPr>
                <w:sz w:val="20"/>
                <w:szCs w:val="20"/>
                <w:color w:val="auto"/>
              </w:rPr>
            </w:pPr>
            <w:r>
              <w:rPr>
                <w:rFonts w:ascii="Times New Roman" w:cs="Times New Roman" w:eastAsia="Times New Roman" w:hAnsi="Times New Roman"/>
                <w:sz w:val="14"/>
                <w:szCs w:val="14"/>
                <w:color w:val="auto"/>
              </w:rPr>
              <w:t>Craig Cornelius</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of Clearway Energy, Inc.</w:t>
            </w:r>
          </w:p>
        </w:tc>
      </w:tr>
      <w:tr>
        <w:trPr>
          <w:trHeight w:val="184"/>
        </w:trPr>
        <w:tc>
          <w:tcPr>
            <w:tcW w:w="51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Date: February 24, 2026</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86"/>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0" w:type="dxa"/>
            <w:vAlign w:val="bottom"/>
          </w:tcPr>
          <w:p>
            <w:pPr>
              <w:spacing w:after="0"/>
              <w:rPr>
                <w:sz w:val="16"/>
                <w:szCs w:val="16"/>
                <w:color w:val="auto"/>
              </w:rPr>
            </w:pP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182"/>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JONATHAN BRAM</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Jonathan Bram</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NATHANIEL ANSCHUETZ</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Nathaniel Anschuetz</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BRIAN FORD</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Brian Ford</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BRUCE MACLENNAN</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Bruce MacLennan</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B. MORE</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B. More</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 STANLEY O’NEAL</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 Stanley O’Neal</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JENNIFER LOWRY</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Jennifer Lowry</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MARC-ANTOINE PIGNON</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Marc-Antoine Pignon</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OLIVIER JOUNY</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Jouny</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PAIGE GOODWIN</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Paige Goodwin</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CRAIG CORNELIUS</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Craig Cornelius</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870"/>
        </w:trPr>
        <w:tc>
          <w:tcPr>
            <w:tcW w:w="3540" w:type="dxa"/>
            <w:vAlign w:val="bottom"/>
          </w:tcPr>
          <w:p>
            <w:pPr>
              <w:spacing w:after="0"/>
              <w:rPr>
                <w:sz w:val="24"/>
                <w:szCs w:val="24"/>
                <w:color w:val="auto"/>
              </w:rPr>
            </w:pPr>
          </w:p>
        </w:tc>
        <w:tc>
          <w:tcPr>
            <w:tcW w:w="5420" w:type="dxa"/>
            <w:vAlign w:val="bottom"/>
            <w:gridSpan w:val="2"/>
          </w:tcPr>
          <w:p>
            <w:pPr>
              <w:jc w:val="right"/>
              <w:ind w:right="3149"/>
              <w:spacing w:after="0"/>
              <w:rPr>
                <w:sz w:val="20"/>
                <w:szCs w:val="20"/>
                <w:color w:val="auto"/>
              </w:rPr>
            </w:pPr>
            <w:r>
              <w:rPr>
                <w:rFonts w:ascii="Times New Roman" w:cs="Times New Roman" w:eastAsia="Times New Roman" w:hAnsi="Times New Roman"/>
                <w:sz w:val="14"/>
                <w:szCs w:val="14"/>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41275</wp:posOffset>
            </wp:positionV>
            <wp:extent cx="718693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15875</wp:posOffset>
            </wp:positionV>
            <wp:extent cx="138811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2026</w:t>
      </w:r>
    </w:p>
    <w:p>
      <w:pPr>
        <w:sectPr>
          <w:pgSz w:w="11900" w:h="16838" w:orient="portrait"/>
          <w:cols w:equalWidth="0" w:num="2">
            <w:col w:w="8960" w:space="660"/>
            <w:col w:w="1040"/>
          </w:cols>
          <w:pgMar w:left="320" w:top="759" w:right="919" w:bottom="1440" w:gutter="0" w:footer="0" w:header="0"/>
        </w:sectPr>
      </w:pPr>
    </w:p>
    <w:bookmarkStart w:id="162" w:name="page163"/>
    <w:bookmarkEnd w:id="162"/>
    <w:p>
      <w:pPr>
        <w:ind w:left="40"/>
        <w:spacing w:after="0"/>
        <w:rPr>
          <w:sz w:val="20"/>
          <w:szCs w:val="20"/>
          <w:color w:val="auto"/>
        </w:rPr>
      </w:pPr>
      <w:r>
        <w:rPr>
          <w:rFonts w:ascii="Times New Roman" w:cs="Times New Roman" w:eastAsia="Times New Roman" w:hAnsi="Times New Roman"/>
          <w:sz w:val="14"/>
          <w:szCs w:val="14"/>
          <w:b w:val="1"/>
          <w:bCs w:val="1"/>
          <w:color w:val="auto"/>
        </w:rPr>
        <w:t>Supplemental Information to be Furnished with Reports Filed Pursuant to Section 15(d) of the Act by Registrants Which Have Not Registered Securities Pursuant to Section 12 of the Act</w:t>
      </w:r>
    </w:p>
    <w:p>
      <w:pPr>
        <w:spacing w:after="0" w:line="74" w:lineRule="exact"/>
        <w:rPr>
          <w:sz w:val="20"/>
          <w:szCs w:val="20"/>
          <w:color w:val="auto"/>
        </w:rPr>
      </w:pPr>
    </w:p>
    <w:p>
      <w:pPr>
        <w:ind w:firstLine="141"/>
        <w:spacing w:after="0" w:line="287" w:lineRule="auto"/>
        <w:rPr>
          <w:sz w:val="20"/>
          <w:szCs w:val="20"/>
          <w:color w:val="auto"/>
        </w:rPr>
      </w:pPr>
      <w:r>
        <w:rPr>
          <w:rFonts w:ascii="Times New Roman" w:cs="Times New Roman" w:eastAsia="Times New Roman" w:hAnsi="Times New Roman"/>
          <w:sz w:val="14"/>
          <w:szCs w:val="14"/>
          <w:color w:val="auto"/>
        </w:rPr>
        <w:t>No annual report or proxy material has been sent to securities holders and no such report or proxy material is to be furnished to securities holders subsequent to the filing of the annual report on this Form 10-K.</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11280"/>
          </w:cols>
          <w:pgMar w:left="300" w:top="802" w:right="319" w:bottom="1440"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8">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4" w:name="page275"/>
    <w:bookmarkEnd w:id="2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88" w:name="page289"/>
    <w:bookmarkEnd w:id="2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95" w:name="page296"/>
    <w:bookmarkEnd w:id="2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2" w:name="page303"/>
    <w:bookmarkEnd w:id="3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8">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9">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8" w:name="page309"/>
    <w:bookmarkEnd w:id="3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14" w:name="page315"/>
    <w:bookmarkEnd w:id="3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45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5">
                      <a:extLst>
                        <a:ext uri="{28A0092B-C50C-407E-A947-70E740481C1C}"/>
                      </a:extLst>
                    </a:blip>
                    <a:srcRect/>
                    <a:stretch>
                      <a:fillRect/>
                    </a:stretch>
                  </pic:blipFill>
                  <pic:spPr bwMode="auto">
                    <a:xfrm>
                      <a:off x="0" y="0"/>
                      <a:ext cx="7105650" cy="9334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8">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20" w:name="page321"/>
    <w:bookmarkEnd w:id="3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26" w:name="page327"/>
    <w:bookmarkEnd w:id="3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33" w:name="page334"/>
    <w:bookmarkEnd w:id="3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39" w:name="page340"/>
    <w:bookmarkEnd w:id="3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45" w:name="page346"/>
    <w:bookmarkEnd w:id="3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52" w:name="page353"/>
    <w:bookmarkEnd w:id="3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58" w:name="page359"/>
    <w:bookmarkEnd w:id="358"/>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77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480" w:type="dxa"/>
            <w:vAlign w:val="bottom"/>
            <w:tcBorders>
              <w:bottom w:val="single" w:sz="8" w:color="969696"/>
            </w:tcBorders>
          </w:tcPr>
          <w:p>
            <w:pPr>
              <w:spacing w:after="0"/>
              <w:rPr>
                <w:sz w:val="24"/>
                <w:szCs w:val="24"/>
                <w:color w:val="auto"/>
              </w:rPr>
            </w:pPr>
          </w:p>
        </w:tc>
        <w:tc>
          <w:tcPr>
            <w:tcW w:w="374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48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4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2011 Finance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 Solar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Adams Community Solar Gardens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Agua Caliente Borrower 1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Agua Caliente Borrower 2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Agua Caliente Solar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Agua Caliente Solar,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III,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Landco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Realty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Realty Investments,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Vista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1-5 Holding Company,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Asset Management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Asset Management,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II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III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IV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IV,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V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V,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XI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X-XI TE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Apple 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Arapahoe Community Solar Garden 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Arica Solar Pledgor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Arica Solar,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Avenal Park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59" w:name="page360"/>
    <w:bookmarkEnd w:id="359"/>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79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280" w:type="dxa"/>
            <w:vAlign w:val="bottom"/>
            <w:tcBorders>
              <w:bottom w:val="single" w:sz="8" w:color="969696"/>
            </w:tcBorders>
          </w:tcPr>
          <w:p>
            <w:pPr>
              <w:spacing w:after="0"/>
              <w:rPr>
                <w:sz w:val="24"/>
                <w:szCs w:val="24"/>
                <w:color w:val="auto"/>
              </w:rPr>
            </w:pPr>
          </w:p>
        </w:tc>
        <w:tc>
          <w:tcPr>
            <w:tcW w:w="394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28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94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Avenal Solar Holdings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Bashaw Solar 1,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Big Lake Holdco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Cat Road Solar,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Rock Class B Holdco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Rock TE Holdco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Rock Wind Force,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Rock Wind Holding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Start Battery Holdings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Start Battery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Bluestone Solar,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BMP Wind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Broken Bow Wind,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Brook Street Solar 1,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Buckthorn Holdings,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Renewables,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Buckthorn Solar Portfolio,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Westex,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Buffalo Bear,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Oklahoma</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Bullock Road Solar 1,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BWC Swan Pond River,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Capistrano Portfolio Holdco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Capistrano Portfolio Holdings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Cardinal Holdings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Cardinal Investment Holdco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Cardinal JV Purchaser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Cardinal Purchaser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Carlsbad Energy Center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Carlsbad Energy Holdings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Carlsbad Holdco II,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Carlsbad Holdco,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Catalina Solar Investment Holdco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Catalina Solar Investment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Catalina Solar Lessee Holdco,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Catalina Solar Lessee,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CBAD Holdings II,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CBAD Holdings,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Class B Holdco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Holdco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TE Holdco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Wind Holdco LLC</w:t>
            </w:r>
          </w:p>
        </w:tc>
        <w:tc>
          <w:tcPr>
            <w:tcW w:w="39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Wind Holdings LLC</w:t>
            </w:r>
          </w:p>
        </w:tc>
        <w:tc>
          <w:tcPr>
            <w:tcW w:w="39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60" w:name="page361"/>
    <w:bookmarkEnd w:id="360"/>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76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5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58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64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Wind,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Cedro Hill BL Borrower Holdco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Cedro Hill Class B Member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Cedro Hill TE Holdco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Cedro Hill Wind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Center St Solar 1,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Chestnut Class B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Chestnut Fund Sub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Chisago Holdco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Clara City Solar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&amp; EFS Distributed Solar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AC Solar Holdings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Chestnut Fund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DG Lakeland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Energy Finance Inc.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Energy Operating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OpCo Power Marketing Holdings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OpCo Power Marketing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Solar Star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Walnut Creek II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West Holdings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CMR Solar,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Colorado Shared Solar I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Colorado Springs Solar Garden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Continental Energy,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Crofton Bluffs Wind,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CVSR Holdco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CVSR Holdings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CWEN Pinnacle Repowering Holdco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CWEN Pinnacle Repowering Holdings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CWSP Rattlesnake Holding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D1-LV TargetCo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1 Class B Member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1 Pledgor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1 TE Holdco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Class B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2 Project Sub II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Project Sub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2 TargetCo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TE Holdco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3 Project Sub II LLC</w:t>
            </w:r>
          </w:p>
        </w:tc>
        <w:tc>
          <w:tcPr>
            <w:tcW w:w="36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3 Project Sub LLC</w:t>
            </w:r>
          </w:p>
        </w:tc>
        <w:tc>
          <w:tcPr>
            <w:tcW w:w="36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61" w:name="page362"/>
    <w:bookmarkEnd w:id="361"/>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784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400" w:type="dxa"/>
            <w:vAlign w:val="bottom"/>
            <w:tcBorders>
              <w:bottom w:val="single" w:sz="8" w:color="969696"/>
            </w:tcBorders>
          </w:tcPr>
          <w:p>
            <w:pPr>
              <w:spacing w:after="0"/>
              <w:rPr>
                <w:sz w:val="24"/>
                <w:szCs w:val="24"/>
                <w:color w:val="auto"/>
              </w:rPr>
            </w:pPr>
          </w:p>
        </w:tc>
        <w:tc>
          <w:tcPr>
            <w:tcW w:w="38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4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Class B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Renewable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Holdco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Solar Investment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Power 1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Solar Power 2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Power 3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TargetCo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TE Holdco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Class B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Parent Holdco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Parent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TargetCo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Tax Credit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Wind Force Pledgor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Wind Force,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Denver Community Solar Garden 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Denver Community Solar Garden II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Desert Sunlight 250,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Desert Sunlight 300,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Desert Sunlight Holdings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Desert Sunlight Investment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Berkeley Rec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Berkeley Village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Central East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Central West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Contra Costa Operations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Contra Costa Waste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Crystal Spring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Dighton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Foxborough Elm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Foxborough Landfill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Grantland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Haverhill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Imperial Admin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Imperial Building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Lathrop Louise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Lincoln Middle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Marathon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Rosedale Elementary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Rosedale Middle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San Joaquin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62" w:name="page363"/>
    <w:bookmarkEnd w:id="362"/>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76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640" w:type="dxa"/>
            <w:vAlign w:val="bottom"/>
            <w:tcBorders>
              <w:bottom w:val="single" w:sz="8" w:color="969696"/>
            </w:tcBorders>
          </w:tcPr>
          <w:p>
            <w:pPr>
              <w:spacing w:after="0"/>
              <w:rPr>
                <w:sz w:val="24"/>
                <w:szCs w:val="24"/>
                <w:color w:val="auto"/>
              </w:rPr>
            </w:pPr>
          </w:p>
        </w:tc>
        <w:tc>
          <w:tcPr>
            <w:tcW w:w="35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6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5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SREC HoldCo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SREC Holdings 1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Tufts Knoll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Tufts Science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Washington Middle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Webster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DG-CS Holdco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DG-CS Holdings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DG-CS Master Borrower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1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2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3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4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1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2 HoldCo A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2 HoldCo B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2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4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4 Sub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Holding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Dodge Holdco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Eastman Street Solar 1,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 Mirage Energy,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 Segundo Energy Center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Elbow Creek Repowering Tax Equity Holdco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Elbow Creek Wind Project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Elkhorn Holdings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Elkhorn Ridge Wind,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Enterprise Solar,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Enterprise Storage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Escalante BESS I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Escalante Solar I,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Escalante Solar II,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Escalante Solar III,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ETCAP NES CS MN 02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ETCAP NES CS MN 06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Farmington Holdco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Federal Road Solar 1,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Forest Lake Holdco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Forward WindPower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Four Brothers Holdings,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Four Brothers Solar,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63" w:name="page364"/>
    <w:bookmarkEnd w:id="363"/>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80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240" w:type="dxa"/>
            <w:vAlign w:val="bottom"/>
            <w:tcBorders>
              <w:bottom w:val="single" w:sz="8" w:color="969696"/>
            </w:tcBorders>
          </w:tcPr>
          <w:p>
            <w:pPr>
              <w:spacing w:after="0"/>
              <w:rPr>
                <w:sz w:val="24"/>
                <w:szCs w:val="24"/>
                <w:color w:val="auto"/>
              </w:rPr>
            </w:pPr>
          </w:p>
        </w:tc>
        <w:tc>
          <w:tcPr>
            <w:tcW w:w="39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2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9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Frontenac Holdco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FUSD Energy,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GCE Holding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GenConn Devon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GenConn Energy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GenConn Middletown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Goat Mountain Class B Holdco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Goat Mountain TE Holdco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Goat Wind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Golden Fields Solar III,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Golden Fields Solar IV Bess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Golden Fields Solar IV,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Golden Puma Fund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Grabinski Solar,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BESS East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Granite Mountain Holdings,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Renewables,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Granite Mountain Solar East,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Solar West,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High Plains Ranch II,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HLE Solar Holdings,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Honeycomb 1 Holdco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Honeycomb 1 Holdings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Honeycomb Class B HoldCo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Honeycomb Project HoldCo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Honeycomb TargetCo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Honeycomb TE HoldCo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HSD Solar Holdings,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Hwy 14 Holdco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Iron Springs BESS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Iron Springs Holdings,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Iron Springs Renewables,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Iron Springs Solar,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Langford Class B Holdco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Langford Holding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Langford Tax Equity Partnership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Langford Wind Power,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Lanikuhana Solar,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Hawaii</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Laredo Ridge Wind,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Lenape II Solar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Class A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Holdco 2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64" w:name="page365"/>
    <w:bookmarkEnd w:id="364"/>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79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340" w:type="dxa"/>
            <w:vAlign w:val="bottom"/>
            <w:tcBorders>
              <w:bottom w:val="single" w:sz="8" w:color="969696"/>
            </w:tcBorders>
          </w:tcPr>
          <w:p>
            <w:pPr>
              <w:spacing w:after="0"/>
              <w:rPr>
                <w:sz w:val="24"/>
                <w:szCs w:val="24"/>
                <w:color w:val="auto"/>
              </w:rPr>
            </w:pPr>
          </w:p>
        </w:tc>
        <w:tc>
          <w:tcPr>
            <w:tcW w:w="38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3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Holding Sub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Holdings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Lindberg Field Solar 1,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Lindberg Field Solar 2,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Longhorn Energy,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Lookout WindPower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Luna Valley Class B Member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Luna Valley Pledgor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Luna Valley Solar I,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Luna Valley TE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LV-Daggett Parent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LV-Daggett Parent Holdings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Mapleton Solar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Marsh Landing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Marsh Landing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Marsh Landing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MC1 Solar Farm,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Carolina</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Sky Class B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Sky Holding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Sky TE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Star Class B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Star Special,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Star Tax Equity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Mililani BL Borrower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Mililani Class B Member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Mililani I Solar,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Mililani TE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Minisink Solar 1,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Minisink Solar 2,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Iowa Wind,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Broken Bow,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Cedro,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Crofton Bluffs,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Laredo,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New Mexico,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Oklahoma,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PA One,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PA Three,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PA Two,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Pennsylvania,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Utah,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65" w:name="page366"/>
    <w:bookmarkEnd w:id="365"/>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74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800" w:type="dxa"/>
            <w:vAlign w:val="bottom"/>
            <w:tcBorders>
              <w:bottom w:val="single" w:sz="8" w:color="969696"/>
            </w:tcBorders>
          </w:tcPr>
          <w:p>
            <w:pPr>
              <w:spacing w:after="0"/>
              <w:rPr>
                <w:sz w:val="24"/>
                <w:szCs w:val="24"/>
                <w:color w:val="auto"/>
              </w:rPr>
            </w:pPr>
          </w:p>
        </w:tc>
        <w:tc>
          <w:tcPr>
            <w:tcW w:w="34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8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4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Wyoming,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Monster Energy,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Montevideo Solar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Mount Hope Solar 1,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Mountain Wind Power II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Mountain Wind Power,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Natural Gas CA Holdco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Natural Gas CA Holdings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Natural Gas Repowering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Munich Solar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NIMH Solar HoldCo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NIMH Solar Holdings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NIMH Solar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Northfield Holdco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NS Smith,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Oahu Renewables,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Oahu Solar Holdings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Oahu Solar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 Solar 2010,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Ocotillo Windpower Holdco 2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Ocotillo Windpower Holdco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Ocotillo Windpower Holdings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Ocotillo Windpower, LP</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Old Westminster Solar 1,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Old Westminster Solar 2,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Olinda Trail Solar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Osakis Solar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Palisade Plains Development Partnership Holdco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Palisade Plains Development Partnership Holdings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Palisade Plains Development Partnership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Partridgeville Road Solar 1,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PC Dinuba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PESD Energy,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Pikes Peak Solar Garden I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CE Class A Owner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CE TargetCo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Holdco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Hybrid I,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Solar I,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TE Class B Owner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TE HoldCo LLC</w:t>
            </w:r>
          </w:p>
        </w:tc>
        <w:tc>
          <w:tcPr>
            <w:tcW w:w="34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Term Borrower LLC</w:t>
            </w:r>
          </w:p>
        </w:tc>
        <w:tc>
          <w:tcPr>
            <w:tcW w:w="34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66" w:name="page367"/>
    <w:bookmarkEnd w:id="366"/>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77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500" w:type="dxa"/>
            <w:vAlign w:val="bottom"/>
            <w:tcBorders>
              <w:bottom w:val="single" w:sz="8" w:color="969696"/>
            </w:tcBorders>
          </w:tcPr>
          <w:p>
            <w:pPr>
              <w:spacing w:after="0"/>
              <w:rPr>
                <w:sz w:val="24"/>
                <w:szCs w:val="24"/>
                <w:color w:val="auto"/>
              </w:rPr>
            </w:pPr>
          </w:p>
        </w:tc>
        <w:tc>
          <w:tcPr>
            <w:tcW w:w="37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5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Island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Repowering Partnership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Pinnacle Repowering Partnership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Repowering Tax Equity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Pinnacle Wind,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PM Solar Holdings,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Pond Road Solar,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Portfolio Solar I,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Puma Class B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Rattlesnake Class B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Rattlesnake Flat,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Rattlesnake TE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Redbrook Solar 1,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Renew Canal 1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Renew Solar CS4 Class B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Renew Solar CS4 Fund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Renew Spark 2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Repowering Partnership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Repowering Partnership II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Rollingstone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Rosamond Solar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Rosamond Solar Investment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Rosamond South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Rosamond South Investment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Class B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Project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South Class B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South TargetCo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South TE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TargetCo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TE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Rounseville Solar 1,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RPV Holding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RS2-Spindle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RS2-Spindle Holdings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RS2-Spindle Purchaser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San Juan Mesa Investments,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San Juan Mesa Wind Project,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Sand Drag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Sartell Solar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SCDA Solar 1,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SCWFD Energy,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bl>
    <w:p>
      <w:pPr>
        <w:sectPr>
          <w:pgSz w:w="11900" w:h="16838" w:orient="portrait"/>
          <w:cols w:equalWidth="0" w:num="1">
            <w:col w:w="11240"/>
          </w:cols>
          <w:pgMar w:left="360" w:top="154" w:right="299" w:bottom="1440" w:gutter="0" w:footer="0" w:header="0"/>
        </w:sectPr>
      </w:pPr>
    </w:p>
    <w:bookmarkStart w:id="367" w:name="page368"/>
    <w:bookmarkEnd w:id="367"/>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76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600" w:type="dxa"/>
            <w:vAlign w:val="bottom"/>
            <w:tcBorders>
              <w:bottom w:val="single" w:sz="8" w:color="969696"/>
            </w:tcBorders>
          </w:tcPr>
          <w:p>
            <w:pPr>
              <w:spacing w:after="0"/>
              <w:rPr>
                <w:sz w:val="24"/>
                <w:szCs w:val="24"/>
                <w:color w:val="auto"/>
              </w:rPr>
            </w:pPr>
          </w:p>
        </w:tc>
        <w:tc>
          <w:tcPr>
            <w:tcW w:w="36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6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6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SJA Solar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Sleeping Bear,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Alpine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Apple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AV Holdco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Avra Valley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Blythe II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Blythe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Borrego Holdco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Borrego 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Community 1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Community Holdco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CVSR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Flagstaff One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Iguana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Kansas South Holdings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Kansas South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Las Vegas MB 1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Las Vegas MB 2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Mayfair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Mule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Oasis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Roadrunner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Roadrunner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Tabernacle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Warren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Wauwinet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West Shaft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South Trent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South Trent Wind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Spanish Fork Wind Park 2,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Utah</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Asset Holdings,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Fund II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Fund II,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Fund II-B,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Fund III,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Lease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P-IV Master Lessee,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Energy II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Energy III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Expansion Class B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68" w:name="page369"/>
    <w:bookmarkEnd w:id="368"/>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79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340" w:type="dxa"/>
            <w:vAlign w:val="bottom"/>
            <w:tcBorders>
              <w:bottom w:val="single" w:sz="8" w:color="969696"/>
            </w:tcBorders>
          </w:tcPr>
          <w:p>
            <w:pPr>
              <w:spacing w:after="0"/>
              <w:rPr>
                <w:sz w:val="24"/>
                <w:szCs w:val="24"/>
                <w:color w:val="auto"/>
              </w:rPr>
            </w:pPr>
          </w:p>
        </w:tc>
        <w:tc>
          <w:tcPr>
            <w:tcW w:w="38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3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Expansion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Expansion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Interconnection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TE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TE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Street Solar 1,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Stafford St Solar 1,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Stafford St Solar 2,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Stafford St Solar 3,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Stearns Solar I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Steel Bridge Solar,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Sun City Project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 - High Desert,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Taloga Wind,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Oklahoma</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Tapestry Wind,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Texas Solar Nova 1,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Texas Solar Nova 2,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Topeka Solar 1,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TOS Solar 1,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TOS Solar 2,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TOS Solar 4,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TOS Solar 5,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TSN1 BL Borrower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TSN1 Class B Member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TSN1 TE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Tully Farms Solar 1,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Underhill Solar,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Holdings II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Solar Holdings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Master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Solar Master Holdings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Vail Energy,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Victory Pass I,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Victory Pass Pledgor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Viento Funding II,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Viento Funding,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VP-Arica Class B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Parent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VP-Arica Parent Holdings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TargetCo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69" w:name="page370"/>
    <w:bookmarkEnd w:id="369"/>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76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560" w:type="dxa"/>
            <w:vAlign w:val="bottom"/>
            <w:tcBorders>
              <w:bottom w:val="single" w:sz="8" w:color="969696"/>
            </w:tcBorders>
          </w:tcPr>
          <w:p>
            <w:pPr>
              <w:spacing w:after="0"/>
              <w:rPr>
                <w:sz w:val="24"/>
                <w:szCs w:val="24"/>
                <w:color w:val="auto"/>
              </w:rPr>
            </w:pPr>
          </w:p>
        </w:tc>
        <w:tc>
          <w:tcPr>
            <w:tcW w:w="366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56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66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VP-Arica TE Holdco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Wabasha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Wabasha Solar II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Wabasha Solar III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Wabasha Solar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Waiawa Solar Power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Waipio PV,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Walnut Creek Energy,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Walnut Creek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Washington Wind Holdings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Washington Wind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Waterford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WCEP Holdings,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Webster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WECAT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Wildcat Energy,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Wildorado Interconnect,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Wildorado Repowering Tax Equity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Wildorado Wind,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Wilmarth Lane Solar 1,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Wind TE Holdco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Winona Solar I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Winona Solar II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WSD Solar Holdings,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WV Wind Holdco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WV Wind Holdings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Zephyr Oahu Partnership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Craig Cornelius, certify that:</w:t>
      </w:r>
    </w:p>
    <w:p>
      <w:pPr>
        <w:spacing w:after="0" w:line="274" w:lineRule="exact"/>
        <w:rPr>
          <w:sz w:val="20"/>
          <w:szCs w:val="20"/>
          <w:color w:val="auto"/>
        </w:rPr>
      </w:pPr>
    </w:p>
    <w:p>
      <w:pPr>
        <w:ind w:left="520" w:hanging="515"/>
        <w:spacing w:after="0"/>
        <w:tabs>
          <w:tab w:leader="none" w:pos="5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2"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266128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2">
                      <a:extLst>
                        <a:ext uri="{28A0092B-C50C-407E-A947-70E740481C1C}"/>
                      </a:extLst>
                    </a:blip>
                    <a:srcRect/>
                    <a:stretch>
                      <a:fillRect/>
                    </a:stretch>
                  </pic:blipFill>
                  <pic:spPr bwMode="auto">
                    <a:xfrm>
                      <a:off x="0" y="0"/>
                      <a:ext cx="2661285" cy="698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Craig Cornelius</w:t>
      </w:r>
    </w:p>
    <w:p>
      <w:pPr>
        <w:ind w:left="586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2026</w:t>
      </w:r>
    </w:p>
    <w:p>
      <w:pPr>
        <w:sectPr>
          <w:pgSz w:w="11900" w:h="16838" w:orient="portrait"/>
          <w:cols w:equalWidth="0" w:num="1">
            <w:col w:w="11280"/>
          </w:cols>
          <w:pgMar w:left="300" w:top="801" w:right="31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63" w:lineRule="exact"/>
        <w:rPr>
          <w:sz w:val="20"/>
          <w:szCs w:val="20"/>
          <w:color w:val="auto"/>
        </w:rPr>
      </w:pPr>
    </w:p>
    <w:p>
      <w:pPr>
        <w:ind w:left="520" w:hanging="515"/>
        <w:spacing w:after="0"/>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2"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14605</wp:posOffset>
            </wp:positionV>
            <wp:extent cx="283654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3">
                      <a:extLst>
                        <a:ext uri="{28A0092B-C50C-407E-A947-70E740481C1C}"/>
                      </a:extLst>
                    </a:blip>
                    <a:srcRect/>
                    <a:stretch>
                      <a:fillRect/>
                    </a:stretch>
                  </pic:blipFill>
                  <pic:spPr bwMode="auto">
                    <a:xfrm>
                      <a:off x="0" y="0"/>
                      <a:ext cx="2836545" cy="6985"/>
                    </a:xfrm>
                    <a:prstGeom prst="rect">
                      <a:avLst/>
                    </a:prstGeom>
                    <a:noFill/>
                  </pic:spPr>
                </pic:pic>
              </a:graphicData>
            </a:graphic>
          </wp:anchor>
        </w:drawing>
      </w:r>
    </w:p>
    <w:p>
      <w:pPr>
        <w:spacing w:after="0" w:line="1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Sarah Rubenstein</w:t>
      </w:r>
    </w:p>
    <w:p>
      <w:pPr>
        <w:ind w:left="6080"/>
        <w:spacing w:after="0" w:line="210" w:lineRule="auto"/>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6080"/>
        <w:spacing w:after="0" w:line="206" w:lineRule="auto"/>
        <w:rPr>
          <w:sz w:val="20"/>
          <w:szCs w:val="20"/>
          <w:color w:val="auto"/>
        </w:rPr>
      </w:pPr>
      <w:r>
        <w:rPr>
          <w:rFonts w:ascii="Times New Roman" w:cs="Times New Roman" w:eastAsia="Times New Roman" w:hAnsi="Times New Roman"/>
          <w:sz w:val="14"/>
          <w:szCs w:val="14"/>
          <w:i w:val="1"/>
          <w:iCs w:val="1"/>
          <w:color w:val="auto"/>
        </w:rPr>
        <w:t>(Principal Financial Officer and</w:t>
      </w:r>
    </w:p>
    <w:p>
      <w:pPr>
        <w:ind w:left="608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2026</w:t>
      </w:r>
    </w:p>
    <w:p>
      <w:pPr>
        <w:sectPr>
          <w:pgSz w:w="11900" w:h="16838" w:orient="portrait"/>
          <w:cols w:equalWidth="0" w:num="1">
            <w:col w:w="11280"/>
          </w:cols>
          <w:pgMar w:left="300" w:top="727" w:right="31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Clearway Energy LLC on Form 10-K for the year ended December 31, 2025,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10-K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 as of the dates and for the periods expressed in the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2026</w:t>
      </w:r>
    </w:p>
    <w:p>
      <w:pPr>
        <w:spacing w:after="0" w:line="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09245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4">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6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09245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5">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5660"/>
        <w:spacing w:after="0" w:line="221" w:lineRule="auto"/>
        <w:rPr>
          <w:sz w:val="20"/>
          <w:szCs w:val="20"/>
          <w:color w:val="auto"/>
        </w:rPr>
      </w:pPr>
      <w:r>
        <w:rPr>
          <w:rFonts w:ascii="Times New Roman" w:cs="Times New Roman" w:eastAsia="Times New Roman" w:hAnsi="Times New Roman"/>
          <w:sz w:val="14"/>
          <w:szCs w:val="14"/>
          <w:i w:val="1"/>
          <w:iCs w:val="1"/>
          <w:color w:val="auto"/>
        </w:rPr>
        <w:t>(Principal Financial Officer and</w:t>
      </w:r>
    </w:p>
    <w:p>
      <w:pPr>
        <w:ind w:left="566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10-K or as a separate disclosure document.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lowerLetter"/>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1)"/>
      <w:numFmt w:val="lowerLetter"/>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1)"/>
      <w:numFmt w:val="lowerLetter"/>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1)"/>
      <w:numFmt w:val="lowerLetter"/>
      <w:start w:val="1"/>
    </w:lvl>
  </w:abstractNum>
  <w:abstractNum w:abstractNumId="25">
    <w:nsid w:val="15B5AF5C"/>
    <w:multiLevelType w:val="hybridMultilevel"/>
    <w:lvl w:ilvl="0">
      <w:lvlJc w:val="left"/>
      <w:lvlText w:val="(%1)"/>
      <w:numFmt w:val="lowerLetter"/>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
      <w:numFmt w:val="bullet"/>
      <w:start w:val="1"/>
    </w:lvl>
    <w:lvl w:ilvl="1">
      <w:lvlJc w:val="left"/>
      <w:lvlText w:val="(%2)"/>
      <w:numFmt w:val="decimal"/>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1)"/>
      <w:numFmt w:val="decimal"/>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1)"/>
      <w:numFmt w:val="decimal"/>
      <w:start w:val="5"/>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1)"/>
      <w:numFmt w:val="decimal"/>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lowerLetter"/>
      <w:start w:val="2"/>
    </w:lvl>
  </w:abstractNum>
  <w:abstractNum w:abstractNumId="56">
    <w:nsid w:val="7BD3EE7B"/>
    <w:multiLevelType w:val="hybridMultilevel"/>
    <w:lvl w:ilvl="0">
      <w:lvlJc w:val="left"/>
      <w:lvlText w:val="(%1)"/>
      <w:numFmt w:val="lowerLetter"/>
      <w:start w:val="1"/>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lowerLetter"/>
      <w:start w:val="1"/>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Letter"/>
      <w:start w:val="1"/>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lowerLetter"/>
      <w:start w:val="1"/>
    </w:lvl>
  </w:abstractNum>
  <w:abstractNum w:abstractNumId="63">
    <w:nsid w:val="8F2B15E"/>
    <w:multiLevelType w:val="hybridMultilevel"/>
    <w:lvl w:ilvl="0">
      <w:lvlJc w:val="left"/>
      <w:lvlText w:val="(%1)"/>
      <w:numFmt w:val="lowerLetter"/>
      <w:start w:val="1"/>
    </w:lvl>
  </w:abstractNum>
  <w:abstractNum w:abstractNumId="64">
    <w:nsid w:val="1A32234B"/>
    <w:multiLevelType w:val="hybridMultilevel"/>
    <w:lvl w:ilvl="0">
      <w:lvlJc w:val="left"/>
      <w:lvlText w:val="(%1)"/>
      <w:numFmt w:val="lowerLetter"/>
      <w:start w:val="1"/>
    </w:lvl>
  </w:abstractNum>
  <w:abstractNum w:abstractNumId="65">
    <w:nsid w:val="3B0FD379"/>
    <w:multiLevelType w:val="hybridMultilevel"/>
    <w:lvl w:ilvl="0">
      <w:lvlJc w:val="left"/>
      <w:lvlText w:val="(%1)"/>
      <w:numFmt w:val="lowerLetter"/>
      <w:start w:val="1"/>
    </w:lvl>
  </w:abstractNum>
  <w:abstractNum w:abstractNumId="66">
    <w:nsid w:val="68EB2F63"/>
    <w:multiLevelType w:val="hybridMultilevel"/>
    <w:lvl w:ilvl="0">
      <w:lvlJc w:val="left"/>
      <w:lvlText w:val="(%1)"/>
      <w:numFmt w:val="lowerLetter"/>
      <w:start w:val="1"/>
    </w:lvl>
  </w:abstractNum>
  <w:abstractNum w:abstractNumId="67">
    <w:nsid w:val="4962813B"/>
    <w:multiLevelType w:val="hybridMultilevel"/>
    <w:lvl w:ilvl="0">
      <w:lvlJc w:val="left"/>
      <w:lvlText w:val="(%1)"/>
      <w:numFmt w:val="lowerLetter"/>
      <w:start w:val="1"/>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lowerLetter"/>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lowerLetter"/>
      <w:start w:val="1"/>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amp;"/>
      <w:numFmt w:val="bullet"/>
      <w:start w:val="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emdash "/>
      <w:numFmt w:val="bullet"/>
      <w:start w:val="1"/>
    </w:lvl>
  </w:abstractNum>
  <w:abstractNum w:abstractNumId="82">
    <w:nsid w:val="1716703B"/>
    <w:multiLevelType w:val="hybridMultilevel"/>
    <w:lvl w:ilvl="0">
      <w:lvlJc w:val="left"/>
      <w:lvlText w:val="(%1)"/>
      <w:numFmt w:val="lowerLetter"/>
      <w:start w:val="1"/>
    </w:lvl>
  </w:abstractNum>
  <w:abstractNum w:abstractNumId="83">
    <w:nsid w:val="14E17E33"/>
    <w:multiLevelType w:val="hybridMultilevel"/>
    <w:lvl w:ilvl="0">
      <w:lvlJc w:val="left"/>
      <w:lvlText w:val="(%1)"/>
      <w:numFmt w:val="lowerLetter"/>
      <w:start w:val="1"/>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decimal"/>
      <w:start w:val="32"/>
    </w:lvl>
  </w:abstractNum>
  <w:abstractNum w:abstractNumId="86">
    <w:nsid w:val="68EBC550"/>
    <w:multiLevelType w:val="hybridMultilevel"/>
    <w:lvl w:ilvl="0">
      <w:lvlJc w:val="left"/>
      <w:lvlText w:val="%1"/>
      <w:numFmt w:val="decimal"/>
      <w:start w:val="97"/>
    </w:lvl>
  </w:abstractNum>
  <w:abstractNum w:abstractNumId="87">
    <w:nsid w:val="2DF6D648"/>
    <w:multiLevelType w:val="hybridMultilevel"/>
    <w:lvl w:ilvl="0">
      <w:lvlJc w:val="left"/>
      <w:lvlText w:val="†"/>
      <w:numFmt w:val="bullet"/>
      <w:start w:val="1"/>
    </w:lvl>
    <w:lvl w:ilvl="1">
      <w:lvlJc w:val="left"/>
      <w:lvlText w:val="%2"/>
      <w:numFmt w:val="decimal"/>
      <w:start w:val="104"/>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63" Type="http://schemas.openxmlformats.org/officeDocument/2006/relationships/image" Target="media/image237.png"/><Relationship Id="rId273" Type="http://schemas.openxmlformats.org/officeDocument/2006/relationships/image" Target="media/image238.png"/><Relationship Id="rId275" Type="http://schemas.openxmlformats.org/officeDocument/2006/relationships/image" Target="media/image239.png"/><Relationship Id="rId286" Type="http://schemas.openxmlformats.org/officeDocument/2006/relationships/image" Target="media/image240.png"/><Relationship Id="rId305" Type="http://schemas.openxmlformats.org/officeDocument/2006/relationships/image" Target="media/image241.png"/><Relationship Id="rId311" Type="http://schemas.openxmlformats.org/officeDocument/2006/relationships/image" Target="media/image242.png"/><Relationship Id="rId312" Type="http://schemas.openxmlformats.org/officeDocument/2006/relationships/image" Target="media/image243.png"/><Relationship Id="rId313" Type="http://schemas.openxmlformats.org/officeDocument/2006/relationships/image" Target="media/image244.png"/><Relationship Id="rId314" Type="http://schemas.openxmlformats.org/officeDocument/2006/relationships/image" Target="media/image245.png"/><Relationship Id="rId315" Type="http://schemas.openxmlformats.org/officeDocument/2006/relationships/image" Target="media/image246.png"/><Relationship Id="rId316" Type="http://schemas.openxmlformats.org/officeDocument/2006/relationships/image" Target="media/image247.png"/><Relationship Id="rId317" Type="http://schemas.openxmlformats.org/officeDocument/2006/relationships/image" Target="media/image248.png"/><Relationship Id="rId318" Type="http://schemas.openxmlformats.org/officeDocument/2006/relationships/image" Target="media/image249.png"/><Relationship Id="rId319" Type="http://schemas.openxmlformats.org/officeDocument/2006/relationships/image" Target="media/image250.png"/><Relationship Id="rId320" Type="http://schemas.openxmlformats.org/officeDocument/2006/relationships/image" Target="media/image251.png"/><Relationship Id="rId321" Type="http://schemas.openxmlformats.org/officeDocument/2006/relationships/image" Target="media/image252.png"/><Relationship Id="rId322" Type="http://schemas.openxmlformats.org/officeDocument/2006/relationships/image" Target="media/image253.png"/><Relationship Id="rId323" Type="http://schemas.openxmlformats.org/officeDocument/2006/relationships/image" Target="media/image254.png"/><Relationship Id="rId324" Type="http://schemas.openxmlformats.org/officeDocument/2006/relationships/image" Target="media/image255.png"/><Relationship Id="rId325" Type="http://schemas.openxmlformats.org/officeDocument/2006/relationships/image" Target="media/image256.png"/><Relationship Id="rId326" Type="http://schemas.openxmlformats.org/officeDocument/2006/relationships/image" Target="media/image257.png"/><Relationship Id="rId327" Type="http://schemas.openxmlformats.org/officeDocument/2006/relationships/image" Target="media/image258.png"/><Relationship Id="rId328" Type="http://schemas.openxmlformats.org/officeDocument/2006/relationships/image" Target="media/image259.png"/><Relationship Id="rId329" Type="http://schemas.openxmlformats.org/officeDocument/2006/relationships/image" Target="media/image260.png"/><Relationship Id="rId330" Type="http://schemas.openxmlformats.org/officeDocument/2006/relationships/image" Target="media/image261.png"/><Relationship Id="rId331" Type="http://schemas.openxmlformats.org/officeDocument/2006/relationships/image" Target="media/image262.png"/><Relationship Id="rId332" Type="http://schemas.openxmlformats.org/officeDocument/2006/relationships/image" Target="media/image263.png"/><Relationship Id="rId333" Type="http://schemas.openxmlformats.org/officeDocument/2006/relationships/image" Target="media/image264.png"/><Relationship Id="rId334" Type="http://schemas.openxmlformats.org/officeDocument/2006/relationships/image" Target="media/image265.png"/><Relationship Id="rId335" Type="http://schemas.openxmlformats.org/officeDocument/2006/relationships/image" Target="media/image266.png"/><Relationship Id="rId336" Type="http://schemas.openxmlformats.org/officeDocument/2006/relationships/image" Target="media/image267.png"/><Relationship Id="rId337" Type="http://schemas.openxmlformats.org/officeDocument/2006/relationships/image" Target="media/image268.png"/><Relationship Id="rId338" Type="http://schemas.openxmlformats.org/officeDocument/2006/relationships/image" Target="media/image269.png"/><Relationship Id="rId339" Type="http://schemas.openxmlformats.org/officeDocument/2006/relationships/image" Target="media/image270.png"/><Relationship Id="rId340" Type="http://schemas.openxmlformats.org/officeDocument/2006/relationships/image" Target="media/image271.png"/><Relationship Id="rId341" Type="http://schemas.openxmlformats.org/officeDocument/2006/relationships/image" Target="media/image272.png"/><Relationship Id="rId342" Type="http://schemas.openxmlformats.org/officeDocument/2006/relationships/image" Target="media/image273.png"/><Relationship Id="rId343" Type="http://schemas.openxmlformats.org/officeDocument/2006/relationships/image" Target="media/image274.png"/><Relationship Id="rId344" Type="http://schemas.openxmlformats.org/officeDocument/2006/relationships/image" Target="media/image275.png"/><Relationship Id="rId345" Type="http://schemas.openxmlformats.org/officeDocument/2006/relationships/image" Target="media/image276.png"/><Relationship Id="rId346" Type="http://schemas.openxmlformats.org/officeDocument/2006/relationships/image" Target="media/image277.png"/><Relationship Id="rId347" Type="http://schemas.openxmlformats.org/officeDocument/2006/relationships/image" Target="media/image278.png"/><Relationship Id="rId348" Type="http://schemas.openxmlformats.org/officeDocument/2006/relationships/image" Target="media/image279.png"/><Relationship Id="rId349" Type="http://schemas.openxmlformats.org/officeDocument/2006/relationships/image" Target="media/image280.png"/><Relationship Id="rId350" Type="http://schemas.openxmlformats.org/officeDocument/2006/relationships/image" Target="media/image281.png"/><Relationship Id="rId351" Type="http://schemas.openxmlformats.org/officeDocument/2006/relationships/image" Target="media/image282.png"/><Relationship Id="rId352" Type="http://schemas.openxmlformats.org/officeDocument/2006/relationships/image" Target="media/image283.png"/><Relationship Id="rId353" Type="http://schemas.openxmlformats.org/officeDocument/2006/relationships/image" Target="media/image284.png"/><Relationship Id="rId354" Type="http://schemas.openxmlformats.org/officeDocument/2006/relationships/image" Target="media/image285.png"/><Relationship Id="rId355" Type="http://schemas.openxmlformats.org/officeDocument/2006/relationships/image" Target="media/image286.png"/><Relationship Id="rId356" Type="http://schemas.openxmlformats.org/officeDocument/2006/relationships/image" Target="media/image287.png"/><Relationship Id="rId357" Type="http://schemas.openxmlformats.org/officeDocument/2006/relationships/image" Target="media/image288.png"/><Relationship Id="rId358" Type="http://schemas.openxmlformats.org/officeDocument/2006/relationships/image" Target="media/image289.png"/><Relationship Id="rId359" Type="http://schemas.openxmlformats.org/officeDocument/2006/relationships/image" Target="media/image290.png"/><Relationship Id="rId360" Type="http://schemas.openxmlformats.org/officeDocument/2006/relationships/image" Target="media/image291.png"/><Relationship Id="rId361" Type="http://schemas.openxmlformats.org/officeDocument/2006/relationships/image" Target="media/image292.png"/><Relationship Id="rId362" Type="http://schemas.openxmlformats.org/officeDocument/2006/relationships/image" Target="media/image293.png"/><Relationship Id="rId363" Type="http://schemas.openxmlformats.org/officeDocument/2006/relationships/image" Target="media/image294.png"/><Relationship Id="rId364" Type="http://schemas.openxmlformats.org/officeDocument/2006/relationships/image" Target="media/image295.png"/><Relationship Id="rId365" Type="http://schemas.openxmlformats.org/officeDocument/2006/relationships/image" Target="media/image296.png"/><Relationship Id="rId366" Type="http://schemas.openxmlformats.org/officeDocument/2006/relationships/image" Target="media/image297.png"/><Relationship Id="rId367" Type="http://schemas.openxmlformats.org/officeDocument/2006/relationships/image" Target="media/image298.png"/><Relationship Id="rId368" Type="http://schemas.openxmlformats.org/officeDocument/2006/relationships/image" Target="media/image299.png"/><Relationship Id="rId369" Type="http://schemas.openxmlformats.org/officeDocument/2006/relationships/image" Target="media/image300.png"/><Relationship Id="rId370" Type="http://schemas.openxmlformats.org/officeDocument/2006/relationships/image" Target="media/image301.png"/><Relationship Id="rId371" Type="http://schemas.openxmlformats.org/officeDocument/2006/relationships/image" Target="media/image302.png"/><Relationship Id="rId372" Type="http://schemas.openxmlformats.org/officeDocument/2006/relationships/image" Target="media/image303.png"/><Relationship Id="rId373" Type="http://schemas.openxmlformats.org/officeDocument/2006/relationships/image" Target="media/image304.png"/><Relationship Id="rId374" Type="http://schemas.openxmlformats.org/officeDocument/2006/relationships/image" Target="media/image305.png"/><Relationship Id="rId375" Type="http://schemas.openxmlformats.org/officeDocument/2006/relationships/image" Target="media/image306.png"/><Relationship Id="rId376" Type="http://schemas.openxmlformats.org/officeDocument/2006/relationships/image" Target="media/image307.png"/><Relationship Id="rId377" Type="http://schemas.openxmlformats.org/officeDocument/2006/relationships/image" Target="media/image308.png"/><Relationship Id="rId378" Type="http://schemas.openxmlformats.org/officeDocument/2006/relationships/image" Target="media/image309.png"/><Relationship Id="rId379" Type="http://schemas.openxmlformats.org/officeDocument/2006/relationships/image" Target="media/image310.png"/><Relationship Id="rId380" Type="http://schemas.openxmlformats.org/officeDocument/2006/relationships/image" Target="media/image311.png"/><Relationship Id="rId381" Type="http://schemas.openxmlformats.org/officeDocument/2006/relationships/image" Target="media/image312.png"/><Relationship Id="rId382" Type="http://schemas.openxmlformats.org/officeDocument/2006/relationships/image" Target="media/image313.png"/><Relationship Id="rId383" Type="http://schemas.openxmlformats.org/officeDocument/2006/relationships/image" Target="media/image314.png"/><Relationship Id="rId384" Type="http://schemas.openxmlformats.org/officeDocument/2006/relationships/image" Target="media/image315.png"/><Relationship Id="rId385" Type="http://schemas.openxmlformats.org/officeDocument/2006/relationships/image" Target="media/image316.png"/><Relationship Id="rId386" Type="http://schemas.openxmlformats.org/officeDocument/2006/relationships/image" Target="media/image317.png"/><Relationship Id="rId387" Type="http://schemas.openxmlformats.org/officeDocument/2006/relationships/image" Target="media/image318.png"/><Relationship Id="rId388" Type="http://schemas.openxmlformats.org/officeDocument/2006/relationships/image" Target="media/image319.png"/><Relationship Id="rId389" Type="http://schemas.openxmlformats.org/officeDocument/2006/relationships/image" Target="media/image320.png"/><Relationship Id="rId390" Type="http://schemas.openxmlformats.org/officeDocument/2006/relationships/image" Target="media/image321.png"/><Relationship Id="rId391" Type="http://schemas.openxmlformats.org/officeDocument/2006/relationships/image" Target="media/image322.png"/><Relationship Id="rId392" Type="http://schemas.openxmlformats.org/officeDocument/2006/relationships/image" Target="media/image323.png"/><Relationship Id="rId393" Type="http://schemas.openxmlformats.org/officeDocument/2006/relationships/image" Target="media/image324.png"/><Relationship Id="rId394" Type="http://schemas.openxmlformats.org/officeDocument/2006/relationships/image" Target="media/image325.png"/><Relationship Id="rId395" Type="http://schemas.openxmlformats.org/officeDocument/2006/relationships/image" Target="media/image326.png"/><Relationship Id="rId396" Type="http://schemas.openxmlformats.org/officeDocument/2006/relationships/image" Target="media/image327.png"/><Relationship Id="rId397" Type="http://schemas.openxmlformats.org/officeDocument/2006/relationships/image" Target="media/image328.png"/><Relationship Id="rId398" Type="http://schemas.openxmlformats.org/officeDocument/2006/relationships/image" Target="media/image329.png"/><Relationship Id="rId399" Type="http://schemas.openxmlformats.org/officeDocument/2006/relationships/image" Target="media/image330.png"/><Relationship Id="rId400" Type="http://schemas.openxmlformats.org/officeDocument/2006/relationships/image" Target="media/image331.png"/><Relationship Id="rId401" Type="http://schemas.openxmlformats.org/officeDocument/2006/relationships/image" Target="media/image332.png"/><Relationship Id="rId402" Type="http://schemas.openxmlformats.org/officeDocument/2006/relationships/image" Target="media/image333.png"/><Relationship Id="rId403" Type="http://schemas.openxmlformats.org/officeDocument/2006/relationships/image" Target="media/image334.png"/><Relationship Id="rId404" Type="http://schemas.openxmlformats.org/officeDocument/2006/relationships/image" Target="media/image335.png"/><Relationship Id="rId405" Type="http://schemas.openxmlformats.org/officeDocument/2006/relationships/image" Target="media/image336.png"/><Relationship Id="rId406" Type="http://schemas.openxmlformats.org/officeDocument/2006/relationships/image" Target="media/image337.png"/><Relationship Id="rId407" Type="http://schemas.openxmlformats.org/officeDocument/2006/relationships/image" Target="media/image338.png"/><Relationship Id="rId408" Type="http://schemas.openxmlformats.org/officeDocument/2006/relationships/image" Target="media/image339.png"/><Relationship Id="rId409" Type="http://schemas.openxmlformats.org/officeDocument/2006/relationships/image" Target="media/image340.png"/><Relationship Id="rId410" Type="http://schemas.openxmlformats.org/officeDocument/2006/relationships/image" Target="media/image341.png"/><Relationship Id="rId411" Type="http://schemas.openxmlformats.org/officeDocument/2006/relationships/image" Target="media/image342.png"/><Relationship Id="rId412" Type="http://schemas.openxmlformats.org/officeDocument/2006/relationships/image" Target="media/image343.png"/><Relationship Id="rId413" Type="http://schemas.openxmlformats.org/officeDocument/2006/relationships/image" Target="media/image344.png"/><Relationship Id="rId414" Type="http://schemas.openxmlformats.org/officeDocument/2006/relationships/image" Target="media/image345.png"/><Relationship Id="rId415" Type="http://schemas.openxmlformats.org/officeDocument/2006/relationships/image" Target="media/image346.png"/><Relationship Id="rId416" Type="http://schemas.openxmlformats.org/officeDocument/2006/relationships/image" Target="media/image347.png"/><Relationship Id="rId417" Type="http://schemas.openxmlformats.org/officeDocument/2006/relationships/image" Target="media/image348.png"/><Relationship Id="rId418" Type="http://schemas.openxmlformats.org/officeDocument/2006/relationships/image" Target="media/image349.png"/><Relationship Id="rId419" Type="http://schemas.openxmlformats.org/officeDocument/2006/relationships/image" Target="media/image350.png"/><Relationship Id="rId420" Type="http://schemas.openxmlformats.org/officeDocument/2006/relationships/image" Target="media/image351.png"/><Relationship Id="rId421" Type="http://schemas.openxmlformats.org/officeDocument/2006/relationships/image" Target="media/image352.png"/><Relationship Id="rId422" Type="http://schemas.openxmlformats.org/officeDocument/2006/relationships/image" Target="media/image353.png"/><Relationship Id="rId423" Type="http://schemas.openxmlformats.org/officeDocument/2006/relationships/image" Target="media/image354.png"/><Relationship Id="rId424" Type="http://schemas.openxmlformats.org/officeDocument/2006/relationships/image" Target="media/image355.png"/><Relationship Id="rId425" Type="http://schemas.openxmlformats.org/officeDocument/2006/relationships/image" Target="media/image356.png"/><Relationship Id="rId426" Type="http://schemas.openxmlformats.org/officeDocument/2006/relationships/image" Target="media/image357.png"/><Relationship Id="rId427" Type="http://schemas.openxmlformats.org/officeDocument/2006/relationships/image" Target="media/image358.png"/><Relationship Id="rId428" Type="http://schemas.openxmlformats.org/officeDocument/2006/relationships/image" Target="media/image359.png"/><Relationship Id="rId429" Type="http://schemas.openxmlformats.org/officeDocument/2006/relationships/image" Target="media/image360.png"/><Relationship Id="rId430" Type="http://schemas.openxmlformats.org/officeDocument/2006/relationships/image" Target="media/image361.png"/><Relationship Id="rId431" Type="http://schemas.openxmlformats.org/officeDocument/2006/relationships/image" Target="media/image362.png"/><Relationship Id="rId432" Type="http://schemas.openxmlformats.org/officeDocument/2006/relationships/image" Target="media/image363.png"/><Relationship Id="rId433" Type="http://schemas.openxmlformats.org/officeDocument/2006/relationships/image" Target="media/image364.png"/><Relationship Id="rId434" Type="http://schemas.openxmlformats.org/officeDocument/2006/relationships/image" Target="media/image365.png"/><Relationship Id="rId435" Type="http://schemas.openxmlformats.org/officeDocument/2006/relationships/image" Target="media/image366.png"/><Relationship Id="rId436" Type="http://schemas.openxmlformats.org/officeDocument/2006/relationships/image" Target="media/image367.png"/><Relationship Id="rId437" Type="http://schemas.openxmlformats.org/officeDocument/2006/relationships/image" Target="media/image368.png"/><Relationship Id="rId438" Type="http://schemas.openxmlformats.org/officeDocument/2006/relationships/image" Target="media/image369.png"/><Relationship Id="rId439" Type="http://schemas.openxmlformats.org/officeDocument/2006/relationships/image" Target="media/image370.png"/><Relationship Id="rId440" Type="http://schemas.openxmlformats.org/officeDocument/2006/relationships/image" Target="media/image371.png"/><Relationship Id="rId441" Type="http://schemas.openxmlformats.org/officeDocument/2006/relationships/image" Target="media/image372.png"/><Relationship Id="rId442" Type="http://schemas.openxmlformats.org/officeDocument/2006/relationships/image" Target="media/image373.png"/><Relationship Id="rId443" Type="http://schemas.openxmlformats.org/officeDocument/2006/relationships/image" Target="media/image374.png"/><Relationship Id="rId444" Type="http://schemas.openxmlformats.org/officeDocument/2006/relationships/image" Target="media/image375.png"/><Relationship Id="rId445" Type="http://schemas.openxmlformats.org/officeDocument/2006/relationships/image" Target="media/image376.png"/><Relationship Id="rId446" Type="http://schemas.openxmlformats.org/officeDocument/2006/relationships/image" Target="media/image377.png"/><Relationship Id="rId447" Type="http://schemas.openxmlformats.org/officeDocument/2006/relationships/image" Target="media/image378.png"/><Relationship Id="rId448" Type="http://schemas.openxmlformats.org/officeDocument/2006/relationships/image" Target="media/image379.png"/><Relationship Id="rId449" Type="http://schemas.openxmlformats.org/officeDocument/2006/relationships/image" Target="media/image380.png"/><Relationship Id="rId450" Type="http://schemas.openxmlformats.org/officeDocument/2006/relationships/image" Target="media/image381.png"/><Relationship Id="rId451" Type="http://schemas.openxmlformats.org/officeDocument/2006/relationships/image" Target="media/image382.png"/><Relationship Id="rId452" Type="http://schemas.openxmlformats.org/officeDocument/2006/relationships/image" Target="media/image383.png"/><Relationship Id="rId453" Type="http://schemas.openxmlformats.org/officeDocument/2006/relationships/image" Target="media/image384.png"/><Relationship Id="rId454" Type="http://schemas.openxmlformats.org/officeDocument/2006/relationships/image" Target="media/image385.png"/><Relationship Id="rId455" Type="http://schemas.openxmlformats.org/officeDocument/2006/relationships/image" Target="media/image386.png"/><Relationship Id="rId456" Type="http://schemas.openxmlformats.org/officeDocument/2006/relationships/image" Target="media/image387.png"/><Relationship Id="rId457" Type="http://schemas.openxmlformats.org/officeDocument/2006/relationships/image" Target="media/image388.png"/><Relationship Id="rId458" Type="http://schemas.openxmlformats.org/officeDocument/2006/relationships/image" Target="media/image389.png"/><Relationship Id="rId459" Type="http://schemas.openxmlformats.org/officeDocument/2006/relationships/image" Target="media/image390.png"/><Relationship Id="rId460" Type="http://schemas.openxmlformats.org/officeDocument/2006/relationships/image" Target="media/image391.png"/><Relationship Id="rId461" Type="http://schemas.openxmlformats.org/officeDocument/2006/relationships/image" Target="media/image392.png"/><Relationship Id="rId462" Type="http://schemas.openxmlformats.org/officeDocument/2006/relationships/image" Target="media/image393.png"/><Relationship Id="rId463" Type="http://schemas.openxmlformats.org/officeDocument/2006/relationships/image" Target="media/image394.png"/><Relationship Id="rId464" Type="http://schemas.openxmlformats.org/officeDocument/2006/relationships/image" Target="media/image395.png"/><Relationship Id="rId465" Type="http://schemas.openxmlformats.org/officeDocument/2006/relationships/image" Target="media/image396.png"/><Relationship Id="rId466" Type="http://schemas.openxmlformats.org/officeDocument/2006/relationships/image" Target="media/image397.png"/><Relationship Id="rId467" Type="http://schemas.openxmlformats.org/officeDocument/2006/relationships/image" Target="media/image398.png"/><Relationship Id="rId468" Type="http://schemas.openxmlformats.org/officeDocument/2006/relationships/image" Target="media/image399.png"/><Relationship Id="rId469" Type="http://schemas.openxmlformats.org/officeDocument/2006/relationships/image" Target="media/image400.png"/><Relationship Id="rId470" Type="http://schemas.openxmlformats.org/officeDocument/2006/relationships/image" Target="media/image401.png"/><Relationship Id="rId471" Type="http://schemas.openxmlformats.org/officeDocument/2006/relationships/image" Target="media/image402.png"/><Relationship Id="rId472" Type="http://schemas.openxmlformats.org/officeDocument/2006/relationships/image" Target="media/image403.png"/><Relationship Id="rId473" Type="http://schemas.openxmlformats.org/officeDocument/2006/relationships/image" Target="media/image404.png"/><Relationship Id="rId474" Type="http://schemas.openxmlformats.org/officeDocument/2006/relationships/image" Target="media/image405.png"/><Relationship Id="rId475" Type="http://schemas.openxmlformats.org/officeDocument/2006/relationships/image" Target="media/image406.png"/><Relationship Id="rId476" Type="http://schemas.openxmlformats.org/officeDocument/2006/relationships/image" Target="media/image407.png"/><Relationship Id="rId477" Type="http://schemas.openxmlformats.org/officeDocument/2006/relationships/image" Target="media/image408.png"/><Relationship Id="rId478" Type="http://schemas.openxmlformats.org/officeDocument/2006/relationships/image" Target="media/image409.png"/><Relationship Id="rId479" Type="http://schemas.openxmlformats.org/officeDocument/2006/relationships/image" Target="media/image410.png"/><Relationship Id="rId480" Type="http://schemas.openxmlformats.org/officeDocument/2006/relationships/image" Target="media/image411.png"/><Relationship Id="rId481" Type="http://schemas.openxmlformats.org/officeDocument/2006/relationships/image" Target="media/image412.png"/><Relationship Id="rId482" Type="http://schemas.openxmlformats.org/officeDocument/2006/relationships/image" Target="media/image413.png"/><Relationship Id="rId483" Type="http://schemas.openxmlformats.org/officeDocument/2006/relationships/image" Target="media/image414.png"/><Relationship Id="rId484" Type="http://schemas.openxmlformats.org/officeDocument/2006/relationships/image" Target="media/image415.png"/><Relationship Id="rId485" Type="http://schemas.openxmlformats.org/officeDocument/2006/relationships/image" Target="media/image416.png"/><Relationship Id="rId244" Type="http://schemas.openxmlformats.org/officeDocument/2006/relationships/hyperlink" Target="https://www.sec.gov/Archives/edgar/data/1637708/000104746915003411/a2224163zex-3_01a.htm" TargetMode="External"/><Relationship Id="rId245" Type="http://schemas.openxmlformats.org/officeDocument/2006/relationships/hyperlink" Target="https://www.sec.gov/Archives/edgar/data/1637708/000104746915003411/a2224163zex-3_01b.htm" TargetMode="External"/><Relationship Id="rId246" Type="http://schemas.openxmlformats.org/officeDocument/2006/relationships/hyperlink" Target="https://www.sec.gov/Archives/edgar/data/1637757/000163775719000002/clearwayllcex33201810-k.htm" TargetMode="External"/><Relationship Id="rId247" Type="http://schemas.openxmlformats.org/officeDocument/2006/relationships/hyperlink" Target="https://www.sec.gov/Archives/edgar/data/1637708/000104746915003411/a2224163zex-3_03a.htm" TargetMode="External"/><Relationship Id="rId248" Type="http://schemas.openxmlformats.org/officeDocument/2006/relationships/hyperlink" Target="https://www.sec.gov/Archives/edgar/data/1637708/000104746915003411/a2224163zex-3_03b.htm" TargetMode="External"/><Relationship Id="rId249" Type="http://schemas.openxmlformats.org/officeDocument/2006/relationships/hyperlink" Target="https://www.sec.gov/Archives/edgar/data/1567683/000110465918055334/a18-24111_1ex10d6.htm" TargetMode="External"/><Relationship Id="rId250" Type="http://schemas.openxmlformats.org/officeDocument/2006/relationships/hyperlink" Target="https://www.sec.gov/Archives/edgar/data/1637757/000110465919072222/tm1925067d1_ex4-1.htm" TargetMode="External"/><Relationship Id="rId251" Type="http://schemas.openxmlformats.org/officeDocument/2006/relationships/hyperlink" Target="https://www.sec.gov/Archives/edgar/data/1567683/000110465920002258/tm201233d1_ex4-3.htm" TargetMode="External"/><Relationship Id="rId252" Type="http://schemas.openxmlformats.org/officeDocument/2006/relationships/hyperlink" Target="https://www.sec.gov/Archives/edgar/data/1567683/000110465920028560/tm2011093d1_ex4-3.htm" TargetMode="External"/><Relationship Id="rId253" Type="http://schemas.openxmlformats.org/officeDocument/2006/relationships/hyperlink" Target="https://www.sec.gov/Archives/edgar/data/1637757/000110465920085307/tm2025128d1_ex4-3.htm" TargetMode="External"/><Relationship Id="rId254" Type="http://schemas.openxmlformats.org/officeDocument/2006/relationships/hyperlink" Target="https://www.sec.gov/Archives/edgar/data/1567683/000110465920097221/tm2025854d5_ex4-3.htm" TargetMode="External"/><Relationship Id="rId255" Type="http://schemas.openxmlformats.org/officeDocument/2006/relationships/hyperlink" Target="https://www.sec.gov/Archives/edgar/data/1637757/000110465920127378/tm2036456d1_ex4-3.htm" TargetMode="External"/><Relationship Id="rId256" Type="http://schemas.openxmlformats.org/officeDocument/2006/relationships/hyperlink" Target="https://www.sec.gov/Archives/edgar/data/1637757/000110465920132415/tm2037504d1_ex4-3.htm" TargetMode="External"/><Relationship Id="rId257" Type="http://schemas.openxmlformats.org/officeDocument/2006/relationships/hyperlink" Target="https://www.sec.gov/Archives/edgar/data/1637757/000110465920140150/tm2039386d1_ex4-3.htm" TargetMode="External"/><Relationship Id="rId258" Type="http://schemas.openxmlformats.org/officeDocument/2006/relationships/hyperlink" Target="https://www.sec.gov/Archives/edgar/data/1637757/000110465921012977/tm215222d2_ex4-3.htm" TargetMode="External"/><Relationship Id="rId259" Type="http://schemas.openxmlformats.org/officeDocument/2006/relationships/hyperlink" Target="https://www.sec.gov/Archives/edgar/data/1567683/000110465921033800/tm219068d1_ex4-1.htm" TargetMode="External"/><Relationship Id="rId260" Type="http://schemas.openxmlformats.org/officeDocument/2006/relationships/hyperlink" Target="https://www.sec.gov/Archives/edgar/data/1567683/000110465921069314/tm2116590d1_ex4-2.htm" TargetMode="External"/><Relationship Id="rId261" Type="http://schemas.openxmlformats.org/officeDocument/2006/relationships/hyperlink" Target="https://www.sec.gov/Archives/edgar/data/1567683/000110465921069314/tm2116590d1_ex4-3.htm" TargetMode="External"/><Relationship Id="rId262" Type="http://schemas.openxmlformats.org/officeDocument/2006/relationships/hyperlink" Target="https://www.sec.gov/Archives/edgar/data/1567683/000110465921122073/tm2128933d1_ex4-1.htm" TargetMode="External"/><Relationship Id="rId264" Type="http://schemas.openxmlformats.org/officeDocument/2006/relationships/hyperlink" Target="https://www.sec.gov/Archives/edgar/data/1567683/000110465921124595/tm2129471d1_ex4-2.htm" TargetMode="External"/><Relationship Id="rId265" Type="http://schemas.openxmlformats.org/officeDocument/2006/relationships/hyperlink" Target="https://www.sec.gov/Archives/edgar/data/1567683/000110465921124595/tm2129471d1_ex4-3.htm" TargetMode="External"/><Relationship Id="rId266" Type="http://schemas.openxmlformats.org/officeDocument/2006/relationships/hyperlink" Target="https://www.sec.gov/Archives/edgar/data/1567683/000110465921124595/tm2129471d1_ex4-4.htm" TargetMode="External"/><Relationship Id="rId267" Type="http://schemas.openxmlformats.org/officeDocument/2006/relationships/hyperlink" Target="https://www.sec.gov/Archives/edgar/data/1637757/000110465922066898/tm2217300d1_ex4-1.htm" TargetMode="External"/><Relationship Id="rId268" Type="http://schemas.openxmlformats.org/officeDocument/2006/relationships/hyperlink" Target="https://www.sec.gov/Archives/edgar/data/1637757/000110465922066898/tm2217300d1_ex4-2.htm" TargetMode="External"/><Relationship Id="rId269" Type="http://schemas.openxmlformats.org/officeDocument/2006/relationships/hyperlink" Target="https://www.sec.gov/Archives/edgar/data/1637757/000110465922066898/tm2217300d1_ex4-3.htm" TargetMode="External"/><Relationship Id="rId270" Type="http://schemas.openxmlformats.org/officeDocument/2006/relationships/hyperlink" Target="https://www.sec.gov/Archives/edgar/data/1567683/000110465923023548/tm237375d1_ex4-1.htm" TargetMode="External"/><Relationship Id="rId271" Type="http://schemas.openxmlformats.org/officeDocument/2006/relationships/hyperlink" Target="https://www.sec.gov/Archives/edgar/data/1567683/000110465923023548/tm237375d1_ex4-2.htm" TargetMode="External"/><Relationship Id="rId272" Type="http://schemas.openxmlformats.org/officeDocument/2006/relationships/hyperlink" Target="https://www.sec.gov/Archives/edgar/data/1567683/000110465923023548/tm237375d1_ex4-3.htm" TargetMode="External"/><Relationship Id="rId274" Type="http://schemas.openxmlformats.org/officeDocument/2006/relationships/hyperlink" Target="https://www.sec.gov/Archives/edgar/data/1637757/000110465926003327/tm262987d1_ex4-1.htm" TargetMode="External"/><Relationship Id="rId276" Type="http://schemas.openxmlformats.org/officeDocument/2006/relationships/hyperlink" Target="https://www.sec.gov/Archives/edgar/data/1567683/000110465914031308/a14-11252_1ex10d1.htm" TargetMode="External"/><Relationship Id="rId277" Type="http://schemas.openxmlformats.org/officeDocument/2006/relationships/hyperlink" Target="https://www.sec.gov/Archives/edgar/data/1567683/000156768315000022/yieldincex1092015q2opllcam.htm" TargetMode="External"/><Relationship Id="rId278" Type="http://schemas.openxmlformats.org/officeDocument/2006/relationships/hyperlink" Target="https://www.sec.gov/Archives/edgar/data/1637757/000110465918008197/a18-5571_1ex10d1.htm#Exhibit10_1_093100" TargetMode="External"/><Relationship Id="rId279" Type="http://schemas.openxmlformats.org/officeDocument/2006/relationships/hyperlink" Target="https://www.sec.gov/Archives/edgar/data/1637757/000163775718000013/a101llc.htm" TargetMode="External"/><Relationship Id="rId280" Type="http://schemas.openxmlformats.org/officeDocument/2006/relationships/hyperlink" Target="https://www.sec.gov/Archives/edgar/data/1637757/000110465918071713/a18-41172_1ex10d1.htm" TargetMode="External"/><Relationship Id="rId281" Type="http://schemas.openxmlformats.org/officeDocument/2006/relationships/hyperlink" Target="https://www.sec.gov/Archives/edgar/data/1637757/000110465919075303/tm1926823d1_ex10-1.htm" TargetMode="External"/><Relationship Id="rId282" Type="http://schemas.openxmlformats.org/officeDocument/2006/relationships/hyperlink" Target="https://www.sec.gov/Archives/edgar/data/1567683/000110465921145441/tm2134349d1_ex10-1.htm" TargetMode="External"/><Relationship Id="rId283" Type="http://schemas.openxmlformats.org/officeDocument/2006/relationships/hyperlink" Target="https://www.sec.gov/Archives/edgar/data/1637757/000110465922092738/tm2223752d1_ex10-1.htm" TargetMode="External"/><Relationship Id="rId284" Type="http://schemas.openxmlformats.org/officeDocument/2006/relationships/hyperlink" Target="https://www.sec.gov/Archives/edgar/data/1637757/000110465923034465/tm239757d1_ex10-1.htm" TargetMode="External"/><Relationship Id="rId285" Type="http://schemas.openxmlformats.org/officeDocument/2006/relationships/hyperlink" Target="https://www.sec.gov/Archives/edgar/data/1567683/000110465921108614/tm2125658d1_ex10-1.htm" TargetMode="External"/><Relationship Id="rId287" Type="http://schemas.openxmlformats.org/officeDocument/2006/relationships/hyperlink" Target="https://www.sec.gov/Archives/edgar/data/1567683/000110465921130024/tm2130927d1_ex10-1.htm" TargetMode="External"/><Relationship Id="rId288" Type="http://schemas.openxmlformats.org/officeDocument/2006/relationships/hyperlink" Target="https://www.sec.gov/Archives/edgar/data/1567683/000110465921145441/tm2134349d1_ex10-2.htm" TargetMode="External"/><Relationship Id="rId289" Type="http://schemas.openxmlformats.org/officeDocument/2006/relationships/hyperlink" Target="https://www.sec.gov/Archives/edgar/data/1567683/000110465922004681/tm222995d1_ex10-1.htm" TargetMode="External"/><Relationship Id="rId290" Type="http://schemas.openxmlformats.org/officeDocument/2006/relationships/hyperlink" Target="https://www.sec.gov/Archives/edgar/data/1567683/000110465922004681/tm222995d1_ex10-2.htm" TargetMode="External"/><Relationship Id="rId291" Type="http://schemas.openxmlformats.org/officeDocument/2006/relationships/hyperlink" Target="https://www.sec.gov/Archives/edgar/data/1567683/000156768322000016/clearwayincex10510-q2022.htm" TargetMode="External"/><Relationship Id="rId292" Type="http://schemas.openxmlformats.org/officeDocument/2006/relationships/hyperlink" Target="https://www.sec.gov/Archives/edgar/data/1567683/000156768322000016/clearwayincex10610-q2022.htm" TargetMode="External"/><Relationship Id="rId293" Type="http://schemas.openxmlformats.org/officeDocument/2006/relationships/hyperlink" Target="https://www.sec.gov/Archives/edgar/data/1567683/000156768322000016/clearwayincex10710-q2022.htm" TargetMode="External"/><Relationship Id="rId294" Type="http://schemas.openxmlformats.org/officeDocument/2006/relationships/hyperlink" Target="https://www.sec.gov/Archives/edgar/data/1567683/000110465922130953/tm2233662d1_ex10-1.htm" TargetMode="External"/><Relationship Id="rId295" Type="http://schemas.openxmlformats.org/officeDocument/2006/relationships/hyperlink" Target="https://www.sec.gov/Archives/edgar/data/1637757/000110465923064134/tm2316669d1_ex10-1.htm" TargetMode="External"/><Relationship Id="rId296" Type="http://schemas.openxmlformats.org/officeDocument/2006/relationships/hyperlink" Target="https://www.sec.gov/Archives/edgar/data/1637757/000163775724000003/ar2013equityincentivepla.htm" TargetMode="External"/><Relationship Id="rId297" Type="http://schemas.openxmlformats.org/officeDocument/2006/relationships/hyperlink" Target="https://www.sec.gov/Archives/edgar/data/1637757/000163775724000003/annualincentiveplan2024.htm" TargetMode="External"/><Relationship Id="rId298" Type="http://schemas.openxmlformats.org/officeDocument/2006/relationships/hyperlink" Target="https://www.sec.gov/Archives/edgar/data/1637757/000110465924054964/tm2413071d1_ex10-1.htm" TargetMode="External"/><Relationship Id="rId299" Type="http://schemas.openxmlformats.org/officeDocument/2006/relationships/hyperlink" Target="https://www.sec.gov/Archives/edgar/data/1637757/000110465924054964/tm2413071d1_ex10-2.htm" TargetMode="External"/><Relationship Id="rId300" Type="http://schemas.openxmlformats.org/officeDocument/2006/relationships/hyperlink" Target="https://www.sec.gov/Archives/edgar/data/1637757/000110465924083960/tm2420475d1_ex10-1.htm" TargetMode="External"/><Relationship Id="rId301" Type="http://schemas.openxmlformats.org/officeDocument/2006/relationships/hyperlink" Target="https://www.sec.gov/Archives/edgar/data/1637757/000110465924083960/tm2420475d1_ex10-2.htm" TargetMode="External"/><Relationship Id="rId302" Type="http://schemas.openxmlformats.org/officeDocument/2006/relationships/hyperlink" Target="https://www.sec.gov/Archives/edgar/data/1637757/000163775724000016/cwen-secondamendedandres.htm" TargetMode="External"/><Relationship Id="rId303" Type="http://schemas.openxmlformats.org/officeDocument/2006/relationships/hyperlink" Target="https://www.sec.gov/Archives/edgar/data/1637757/000110465925074526/tm2522578d1_ex1-1.htm" TargetMode="External"/><Relationship Id="rId304" Type="http://schemas.openxmlformats.org/officeDocument/2006/relationships/hyperlink" Target="https://www.sec.gov/Archives/edgar/data/1637757/000110465925097101/tm2528052d1_ex10-1.htm" TargetMode="External"/><Relationship Id="rId306" Type="http://schemas.openxmlformats.org/officeDocument/2006/relationships/hyperlink" Target="https://www.sec.gov/Archives/edgar/data/1637757/000110465925097101/tm2528052d1_ex10-2.htm" TargetMode="External"/><Relationship Id="rId307" Type="http://schemas.openxmlformats.org/officeDocument/2006/relationships/hyperlink" Target="https://www.sec.gov/Archives/edgar/data/1637757/000110465925117484/tm2532506d1_ex10-1.htm" TargetMode="External"/><Relationship Id="rId308" Type="http://schemas.openxmlformats.org/officeDocument/2006/relationships/hyperlink" Target="https://www.sec.gov/Archives/edgar/data/1637757/000110465924059891/tm2414021d1_ex16-1.htm" TargetMode="External"/><Relationship Id="rId309" Type="http://schemas.openxmlformats.org/officeDocument/2006/relationships/hyperlink" Target="https://www.sec.gov/Archives/edgar/data/1637757/000163775725000004/securitiestradingandnon-.htm" TargetMode="External"/><Relationship Id="rId310" Type="http://schemas.openxmlformats.org/officeDocument/2006/relationships/hyperlink" Target="https://www.sec.gov/Archives/edgar/data/1637757/000163775724000003/recoupmentofincentivec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2026-02-24T13:01:47Z</dcterms:created>
  <dcterms:modified xsi:type="dcterms:W3CDTF">2026-02-24T13:01:47Z</dcterms:modified>
</cp:coreProperties>
</file>