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208d1_8k.htm"/>
      <w:bookmarkStart w:id="1" w:name="kstm2626208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B_edei--DocumentType_c20260923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September 23,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Clearway Energy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545" w:type="dxa"/>
        <w:jc w:val="left"/>
        <w:tblInd w:w="0" w:type="dxa"/>
        <w:tblLayout w:type="fixed"/>
        <w:tblCellMar>
          <w:top w:w="0" w:type="dxa"/>
          <w:left w:w="0" w:type="dxa"/>
          <w:bottom w:w="0" w:type="dxa"/>
          <w:right w:w="0" w:type="dxa"/>
        </w:tblCellMar>
      </w:tblPr>
      <w:tblGrid>
        <w:gridCol w:w="2420"/>
        <w:gridCol w:w="60"/>
        <w:gridCol w:w="2210"/>
        <w:gridCol w:w="60"/>
        <w:gridCol w:w="2795"/>
      </w:tblGrid>
      <w:tr>
        <w:trPr/>
        <w:tc>
          <w:tcPr>
            <w:tcW w:w="24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9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923"/>
            <w:bookmarkEnd w:id="6"/>
            <w:r>
              <w:rPr>
                <w:rFonts w:ascii="Times New Roman;Times;Serif" w:hAnsi="Times New Roman;Times;Serif"/>
                <w:b/>
                <w:i w:val="false"/>
                <w:caps w:val="false"/>
                <w:smallCaps w:val="false"/>
                <w:sz w:val="20"/>
              </w:rPr>
              <w:t>333-203369</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32-0407370</w:t>
            </w:r>
          </w:p>
        </w:tc>
      </w:tr>
      <w:tr>
        <w:trPr/>
        <w:tc>
          <w:tcPr>
            <w:tcW w:w="242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pPr>
            <w:r>
              <w:rPr/>
              <w:t>(</w:t>
            </w: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902 Carnegie Center, </w:t>
      </w:r>
      <w:bookmarkStart w:id="9" w:name="xdx_90B_edei--EntityAddressAddressLine2_"/>
      <w:bookmarkEnd w:id="9"/>
      <w:r>
        <w:rPr>
          <w:rFonts w:ascii="Times New Roman;Times;Serif" w:hAnsi="Times New Roman;Times;Serif"/>
          <w:b/>
          <w:i w:val="false"/>
          <w:caps w:val="false"/>
          <w:smallCaps w:val="false"/>
          <w:sz w:val="20"/>
        </w:rPr>
        <w:t xml:space="preserve">Suite 520, </w:t>
      </w:r>
      <w:bookmarkStart w:id="10" w:name="xdx_906_edei--EntityAddressCityOrTown_c2"/>
      <w:bookmarkEnd w:id="10"/>
      <w:r>
        <w:rPr>
          <w:rFonts w:ascii="Times New Roman;Times;Serif" w:hAnsi="Times New Roman;Times;Serif"/>
          <w:b/>
          <w:i w:val="false"/>
          <w:caps w:val="false"/>
          <w:smallCaps w:val="false"/>
          <w:sz w:val="20"/>
        </w:rPr>
        <w:t xml:space="preserve">Princeton, </w:t>
      </w:r>
      <w:bookmarkStart w:id="11" w:name="xdx_90A_edei--EntityAddressStateOrProvin"/>
      <w:bookmarkEnd w:id="11"/>
      <w:r>
        <w:rPr>
          <w:rFonts w:ascii="Times New Roman;Times;Serif" w:hAnsi="Times New Roman;Times;Serif"/>
          <w:b/>
          <w:i w:val="false"/>
          <w:caps w:val="false"/>
          <w:smallCaps w:val="false"/>
          <w:sz w:val="20"/>
        </w:rPr>
        <w:t xml:space="preserve">New Jersey </w:t>
      </w:r>
      <w:bookmarkStart w:id="12" w:name="xdx_90F_edei--EntityAddressPostalZipCode"/>
      <w:bookmarkEnd w:id="12"/>
      <w:r>
        <w:rPr>
          <w:rFonts w:ascii="Times New Roman;Times;Serif" w:hAnsi="Times New Roman;Times;Serif"/>
          <w:b/>
          <w:i w:val="false"/>
          <w:caps w:val="false"/>
          <w:smallCaps w:val="false"/>
          <w:sz w:val="20"/>
        </w:rPr>
        <w:t>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6_edei--CityAreaCode_c20260923__20"/>
      <w:bookmarkEnd w:id="13"/>
      <w:r>
        <w:rPr>
          <w:rFonts w:ascii="Times New Roman;Times;Serif" w:hAnsi="Times New Roman;Times;Serif"/>
          <w:b/>
          <w:i w:val="false"/>
          <w:caps w:val="false"/>
          <w:smallCaps w:val="false"/>
          <w:sz w:val="20"/>
        </w:rPr>
        <w:t xml:space="preserve">609) </w:t>
      </w:r>
      <w:bookmarkStart w:id="14" w:name="xdx_90E_edei--LocalPhoneNumber_c20260923"/>
      <w:bookmarkEnd w:id="14"/>
      <w:r>
        <w:rPr>
          <w:rFonts w:ascii="Times New Roman;Times;Serif" w:hAnsi="Times New Roman;Times;Serif"/>
          <w:b/>
          <w:i w:val="false"/>
          <w:caps w:val="false"/>
          <w:smallCaps w:val="false"/>
          <w:sz w:val="20"/>
        </w:rPr>
        <w:t>608-1525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8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5_edei--SolicitingMaterial_c202609"/>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C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4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ind w:left="0" w:right="0" w:hanging="14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9" w:name="xdx_908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Swan Purchaser LLC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 subsidiary of Clearway Energy,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 Membership Interest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with Swan CE Seller LLC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 affiliate of Clearway Energy Group LLC (“</w:t>
      </w:r>
      <w:r>
        <w:rPr>
          <w:rFonts w:ascii="Times New Roman;Times;Serif" w:hAnsi="Times New Roman;Times;Serif"/>
          <w:b w:val="false"/>
          <w:i w:val="false"/>
          <w:caps w:val="false"/>
          <w:smallCaps w:val="false"/>
          <w:sz w:val="20"/>
          <w:u w:val="single"/>
        </w:rPr>
        <w:t>CEG</w:t>
      </w:r>
      <w:r>
        <w:rPr>
          <w:rFonts w:ascii="Times New Roman;Times;Serif" w:hAnsi="Times New Roman;Times;Serif"/>
          <w:b w:val="false"/>
          <w:i w:val="false"/>
          <w:caps w:val="false"/>
          <w:smallCaps w:val="false"/>
          <w:sz w:val="20"/>
        </w:rPr>
        <w:t>”).  Pursuant to the terms of the Purchase Agreement, Purchaser will acquire from Seller certain limited liability company membership interests in Swan TargetCo LLC (“</w:t>
      </w:r>
      <w:r>
        <w:rPr>
          <w:rFonts w:ascii="Times New Roman;Times;Serif" w:hAnsi="Times New Roman;Times;Serif"/>
          <w:b w:val="false"/>
          <w:i w:val="false"/>
          <w:caps w:val="false"/>
          <w:smallCaps w:val="false"/>
          <w:sz w:val="20"/>
          <w:u w:val="single"/>
        </w:rPr>
        <w:t>Target Company</w:t>
      </w:r>
      <w:r>
        <w:rPr>
          <w:rFonts w:ascii="Times New Roman;Times;Serif" w:hAnsi="Times New Roman;Times;Serif"/>
          <w:b w:val="false"/>
          <w:i w:val="false"/>
          <w:caps w:val="false"/>
          <w:smallCaps w:val="false"/>
          <w:sz w:val="20"/>
        </w:rPr>
        <w:t>”), which, subject to certain terms and conditions referenced in the Purchase Agreement, will become the indirect owner of all of the limited liability company interests in Swan Solar LLC (“</w:t>
      </w:r>
      <w:r>
        <w:rPr>
          <w:rFonts w:ascii="Times New Roman;Times;Serif" w:hAnsi="Times New Roman;Times;Serif"/>
          <w:b w:val="false"/>
          <w:i w:val="false"/>
          <w:caps w:val="false"/>
          <w:smallCaps w:val="false"/>
          <w:sz w:val="20"/>
          <w:u w:val="single"/>
        </w:rPr>
        <w:t>Swan Solar</w:t>
      </w:r>
      <w:r>
        <w:rPr>
          <w:rFonts w:ascii="Times New Roman;Times;Serif" w:hAnsi="Times New Roman;Times;Serif"/>
          <w:b w:val="false"/>
          <w:i w:val="false"/>
          <w:caps w:val="false"/>
          <w:smallCaps w:val="false"/>
          <w:sz w:val="20"/>
        </w:rPr>
        <w:t>”), for a base purchase price of approximately $230 million in cash, subject to adjustments based on a financial model designed to achieve certain minimum economic thresholds (the “</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 Swan Solar is developing and constructing a solar photovoltaic generating facility, with an approximate installed capacity of 650 megawatts, in Bates County, Missouri. Effective at the closing of the Transaction, Purchaser will own 100% of the class A units of the Target Company and Clearway Renew LLC, a wholly owned subsidiary of CEG and the parent company of Seller, will own 100% of the class C units of the Target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warranties and covenants made by each of the parties. In addition, Purchaser, on the one hand, and Seller, on the other hand, are obligated, subject to certain limitations, to indemnify each other and their respective officers, directors, employees, counsel, accountants, financing advisors, consultants and agents for certain customary and other specified matters, including breaches of representations and warranties, nonfulfillment or breaches of covenants and for certain liabilities and third-party claims.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Transaction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is subject to the satisfaction or waiver of a number of customary closing conditions and certain third-party actions. Subject to the satisfaction or waiver of the conditions set forth in the Purchase Agreement, the Closing is expected to occur during the third quarter of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Transaction and the Purchase Agreement does not purport to be complete and is subject to, and qualified in its entirety by, reference to the full text of the Purchase Agreement, a copy of which is filed as Exhibit 10.1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5"/>
        <w:gridCol w:w="60"/>
        <w:gridCol w:w="9360"/>
      </w:tblGrid>
      <w:tr>
        <w:trPr/>
        <w:tc>
          <w:tcPr>
            <w:tcW w:w="785" w:type="dxa"/>
            <w:tcBorders>
              <w:bottom w:val="single" w:sz="8" w:space="0" w:color="000000"/>
            </w:tcBorders>
            <w:vAlign w:val="center"/>
          </w:tcPr>
          <w:p>
            <w:pPr>
              <w:pStyle w:val="TableContents"/>
              <w:bidi w:val="0"/>
              <w:spacing w:before="0" w:after="283"/>
              <w:jc w:val="left"/>
              <w:rPr>
                <w:b/>
              </w:rPr>
            </w:pPr>
            <w:r>
              <w:rPr>
                <w:b/>
              </w:rPr>
              <w:t>Exhibit</w:t>
              <w:br/>
              <w:t>No.</w:t>
            </w:r>
          </w:p>
        </w:tc>
        <w:tc>
          <w:tcPr>
            <w:tcW w:w="60" w:type="dxa"/>
            <w:tcBorders/>
            <w:tcMar>
              <w:bottom w:w="0" w:type="dxa"/>
            </w:tcMar>
            <w:vAlign w:val="center"/>
          </w:tcPr>
          <w:p>
            <w:pPr>
              <w:pStyle w:val="TableContents"/>
              <w:bidi w:val="0"/>
              <w:spacing w:before="0" w:after="283"/>
              <w:jc w:val="center"/>
              <w:rPr/>
            </w:pPr>
            <w:r>
              <w:rPr/>
              <w:t> </w:t>
            </w:r>
          </w:p>
        </w:tc>
        <w:tc>
          <w:tcPr>
            <w:tcW w:w="9360" w:type="dxa"/>
            <w:tcBorders>
              <w:bottom w:val="single" w:sz="8" w:space="0" w:color="000000"/>
            </w:tcBorders>
            <w:vAlign w:val="center"/>
          </w:tcPr>
          <w:p>
            <w:pPr>
              <w:pStyle w:val="TableContents"/>
              <w:bidi w:val="0"/>
              <w:spacing w:before="0" w:after="283"/>
              <w:jc w:val="center"/>
              <w:rPr>
                <w:b/>
              </w:rPr>
            </w:pPr>
            <w:r>
              <w:rPr>
                <w:b/>
              </w:rPr>
              <w:t>Document</w:t>
            </w:r>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9360" w:type="dxa"/>
            <w:tcBorders/>
            <w:tcMar>
              <w:bottom w:w="0" w:type="dxa"/>
            </w:tcMar>
            <w:vAlign w:val="center"/>
          </w:tcPr>
          <w:p>
            <w:pPr>
              <w:pStyle w:val="TableContents"/>
              <w:bidi w:val="0"/>
              <w:spacing w:before="0" w:after="283"/>
              <w:jc w:val="center"/>
              <w:rPr/>
            </w:pPr>
            <w:r>
              <w:rPr/>
              <w:t> </w:t>
            </w:r>
          </w:p>
        </w:tc>
      </w:tr>
      <w:tr>
        <w:trPr/>
        <w:tc>
          <w:tcPr>
            <w:tcW w:w="785" w:type="dxa"/>
            <w:tcBorders/>
            <w:tcMar>
              <w:bottom w:w="0" w:type="dxa"/>
            </w:tcMar>
            <w:vAlign w:val="center"/>
          </w:tcPr>
          <w:p>
            <w:pPr>
              <w:pStyle w:val="TableContents"/>
              <w:bidi w:val="0"/>
              <w:spacing w:before="0" w:after="283"/>
              <w:jc w:val="left"/>
              <w:rPr/>
            </w:pPr>
            <w:hyperlink w:anchor="tm2626208d1_ex10-1.htm">
              <w:r>
                <w:rPr>
                  <w:rStyle w:val="InternetLink"/>
                </w:rPr>
                <w:t>10.1†*</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w:anchor="tm2626208d1_ex10-1.htm">
              <w:r>
                <w:rPr>
                  <w:rStyle w:val="InternetLink"/>
                </w:rPr>
                <w:t>Membership Interest Purchase Agreement, dated as of September 23, 2026, by and between Swan CE Seller LLC and Swan Purchaser LLC.</w:t>
              </w:r>
            </w:hyperlink>
          </w:p>
        </w:tc>
      </w:tr>
      <w:tr>
        <w:trPr/>
        <w:tc>
          <w:tcPr>
            <w:tcW w:w="78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color w:val="212529"/>
              </w:rPr>
            </w:pPr>
            <w:r>
              <w:rPr>
                <w:color w:val="212529"/>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left"/>
              <w:rPr/>
            </w:pPr>
            <w:r>
              <w:rPr/>
              <w:t>Schedules and similar attachments to this Exhibit have been omitted pursuant to Item 601(a)(5) of Regulation S-K. The Company agrees to furnish supplementally a copy of any omitted schedule or exhibit to the U.S. Securities and Exchange Commission (the “</w:t>
            </w:r>
            <w:r>
              <w:rPr>
                <w:u w:val="single"/>
              </w:rPr>
              <w:t>SEC</w:t>
            </w:r>
            <w:r>
              <w:rPr/>
              <w:t>”) upon request.</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left"/>
              <w:rPr/>
            </w:pPr>
            <w:r>
              <w:rPr/>
              <w:t>Certain portions of this Exhibit have been redacted pursuant to Item 601(b)(10)(iv) of Regulation S-K. The omitted information is (i) not material and (ii) would likely cause competitive harm to the Company if publicly disclosed. The Company agrees to furnish supplementally an unredacted copy of this Exhibit to the SEC upon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375" w:type="dxa"/>
        <w:jc w:val="left"/>
        <w:tblInd w:w="0" w:type="dxa"/>
        <w:tblLayout w:type="fixed"/>
        <w:tblCellMar>
          <w:top w:w="0" w:type="dxa"/>
          <w:left w:w="0" w:type="dxa"/>
          <w:bottom w:w="0" w:type="dxa"/>
          <w:right w:w="0" w:type="dxa"/>
        </w:tblCellMar>
      </w:tblPr>
      <w:tblGrid>
        <w:gridCol w:w="2630"/>
        <w:gridCol w:w="365"/>
        <w:gridCol w:w="3380"/>
      </w:tblGrid>
      <w:tr>
        <w:trPr/>
        <w:tc>
          <w:tcPr>
            <w:tcW w:w="2630" w:type="dxa"/>
            <w:tcBorders/>
            <w:vAlign w:val="center"/>
          </w:tcPr>
          <w:p>
            <w:pPr>
              <w:pStyle w:val="TableContents"/>
              <w:bidi w:val="0"/>
              <w:spacing w:before="0" w:after="283"/>
              <w:jc w:val="left"/>
              <w:rPr/>
            </w:pPr>
            <w:r>
              <w:rPr/>
              <w:t> </w:t>
            </w:r>
          </w:p>
        </w:tc>
        <w:tc>
          <w:tcPr>
            <w:tcW w:w="3745" w:type="dxa"/>
            <w:gridSpan w:val="2"/>
            <w:tcBorders/>
            <w:vAlign w:val="center"/>
          </w:tcPr>
          <w:p>
            <w:pPr>
              <w:pStyle w:val="TableContents"/>
              <w:bidi w:val="0"/>
              <w:spacing w:before="0" w:after="283"/>
              <w:jc w:val="both"/>
              <w:rPr>
                <w:b/>
              </w:rPr>
            </w:pPr>
            <w:r>
              <w:rPr>
                <w:b/>
              </w:rPr>
              <w:t>Clearway Energy LLC</w:t>
            </w:r>
          </w:p>
        </w:tc>
      </w:tr>
      <w:tr>
        <w:trPr/>
        <w:tc>
          <w:tcPr>
            <w:tcW w:w="2630" w:type="dxa"/>
            <w:tcBorders/>
            <w:vAlign w:val="center"/>
          </w:tcPr>
          <w:p>
            <w:pPr>
              <w:pStyle w:val="TableContents"/>
              <w:bidi w:val="0"/>
              <w:spacing w:before="0" w:after="283"/>
              <w:jc w:val="left"/>
              <w:rPr/>
            </w:pPr>
            <w:r>
              <w:rPr/>
              <w:t> </w:t>
            </w:r>
          </w:p>
        </w:tc>
        <w:tc>
          <w:tcPr>
            <w:tcW w:w="3745" w:type="dxa"/>
            <w:gridSpan w:val="2"/>
            <w:tcBorders/>
            <w:vAlign w:val="center"/>
          </w:tcPr>
          <w:p>
            <w:pPr>
              <w:pStyle w:val="TableContents"/>
              <w:bidi w:val="0"/>
              <w:spacing w:before="0" w:after="283"/>
              <w:jc w:val="both"/>
              <w:rPr/>
            </w:pPr>
            <w:r>
              <w:rPr/>
              <w:t> </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By:</w:t>
            </w:r>
          </w:p>
        </w:tc>
        <w:tc>
          <w:tcPr>
            <w:tcW w:w="3380" w:type="dxa"/>
            <w:tcBorders>
              <w:bottom w:val="single" w:sz="8" w:space="0" w:color="000000"/>
            </w:tcBorders>
            <w:tcMar>
              <w:bottom w:w="28" w:type="dxa"/>
            </w:tcMar>
            <w:vAlign w:val="center"/>
          </w:tcPr>
          <w:p>
            <w:pPr>
              <w:pStyle w:val="TableContents"/>
              <w:bidi w:val="0"/>
              <w:spacing w:before="0" w:after="283"/>
              <w:jc w:val="both"/>
              <w:rPr>
                <w:i/>
              </w:rPr>
            </w:pPr>
            <w:r>
              <w:rPr>
                <w:i/>
              </w:rPr>
              <w:t>/s/ Michael A. Brown</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3380" w:type="dxa"/>
            <w:tcBorders/>
            <w:vAlign w:val="center"/>
          </w:tcPr>
          <w:p>
            <w:pPr>
              <w:pStyle w:val="TableContents"/>
              <w:bidi w:val="0"/>
              <w:spacing w:before="0" w:after="283"/>
              <w:jc w:val="both"/>
              <w:rPr/>
            </w:pPr>
            <w:r>
              <w:rPr/>
              <w:t>Michael A. Brown</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33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 and Corporate Secretary</w:t>
            </w:r>
          </w:p>
        </w:tc>
      </w:tr>
      <w:tr>
        <w:trPr/>
        <w:tc>
          <w:tcPr>
            <w:tcW w:w="2630" w:type="dxa"/>
            <w:tcBorders/>
            <w:vAlign w:val="center"/>
          </w:tcPr>
          <w:p>
            <w:pPr>
              <w:pStyle w:val="TableContents"/>
              <w:bidi w:val="0"/>
              <w:spacing w:before="0" w:after="283"/>
              <w:jc w:val="left"/>
              <w:rPr/>
            </w:pPr>
            <w:r>
              <w:rPr/>
              <w:t> </w:t>
            </w:r>
          </w:p>
        </w:tc>
        <w:tc>
          <w:tcPr>
            <w:tcW w:w="3745" w:type="dxa"/>
            <w:gridSpan w:val="2"/>
            <w:tcBorders/>
            <w:vAlign w:val="center"/>
          </w:tcPr>
          <w:p>
            <w:pPr>
              <w:pStyle w:val="TableContents"/>
              <w:bidi w:val="0"/>
              <w:spacing w:before="0" w:after="283"/>
              <w:jc w:val="both"/>
              <w:rPr/>
            </w:pPr>
            <w:r>
              <w:rPr/>
              <w:t> </w:t>
            </w:r>
          </w:p>
        </w:tc>
      </w:tr>
      <w:tr>
        <w:trPr/>
        <w:tc>
          <w:tcPr>
            <w:tcW w:w="2630" w:type="dxa"/>
            <w:tcBorders/>
            <w:vAlign w:val="center"/>
          </w:tcPr>
          <w:p>
            <w:pPr>
              <w:pStyle w:val="TableContents"/>
              <w:bidi w:val="0"/>
              <w:spacing w:before="0" w:after="283"/>
              <w:jc w:val="left"/>
              <w:rPr/>
            </w:pPr>
            <w:r>
              <w:rPr/>
              <w:t>Dated: September 28, 2026</w:t>
            </w:r>
          </w:p>
        </w:tc>
        <w:tc>
          <w:tcPr>
            <w:tcW w:w="3745" w:type="dxa"/>
            <w:gridSpan w:val="2"/>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0" w:name="tm2626208d1_ex10-1.htm"/>
      <w:bookmarkStart w:id="21" w:name="kstm2626208d1_ex101"/>
      <w:bookmarkEnd w:id="20"/>
      <w:bookmarkEnd w:id="2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SWAN SOLAR</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portions of this Exhibit have been redacted pursuant to Item 601(b)(10)(iv) of Regulation S-K and, where applicable, have been marked with “[***]” to indicate where redactions have been made. The marked information has been redacted because it is both (i) not material and (ii) would likely cause competitive harm to the Company if publicly disclosed.</w:t>
      </w:r>
    </w:p>
    <w:p>
      <w:pPr>
        <w:pStyle w:val="TextBody"/>
        <w:bidi w:val="0"/>
        <w:spacing w:before="0" w:after="0"/>
        <w:ind w:left="0" w:right="0" w:hanging="0"/>
        <w:jc w:val="center"/>
        <w:rPr>
          <w:caps w:val="false"/>
          <w:smallCaps w:val="false"/>
        </w:rPr>
      </w:pPr>
      <w:r>
        <w:rPr>
          <w:caps w:val="false"/>
          <w:smallCaps w:val="false"/>
        </w:rPr>
        <w:t> </w:t>
      </w:r>
    </w:p>
    <w:p>
      <w:pPr>
        <w:pStyle w:val="TextBody"/>
        <w:pBdr>
          <w:top w:val="double" w:sz="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MEMBERSHIP INTEREST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respect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Swan TargetCo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between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Swan CE Seller LLC, as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Swan Purchaser LLC, as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September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5285"/>
        <w:gridCol w:w="140"/>
      </w:tblGrid>
      <w:tr>
        <w:trPr/>
        <w:tc>
          <w:tcPr>
            <w:tcW w:w="5285" w:type="dxa"/>
            <w:tcBorders/>
            <w:vAlign w:val="center"/>
          </w:tcPr>
          <w:p>
            <w:pPr>
              <w:pStyle w:val="TableContents"/>
              <w:bidi w:val="0"/>
              <w:spacing w:before="0" w:after="283"/>
              <w:ind w:left="0" w:right="0" w:hanging="1440"/>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1 DEFINITIONS AND RULES OF INTERPRETATION</w:t>
            </w:r>
          </w:p>
        </w:tc>
        <w:tc>
          <w:tcPr>
            <w:tcW w:w="140"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2</w:t>
            </w:r>
          </w:p>
        </w:tc>
      </w:tr>
    </w:tbl>
    <w:p>
      <w:pPr>
        <w:pStyle w:val="TextBody"/>
        <w:bidi w:val="0"/>
        <w:spacing w:before="0" w:after="0"/>
        <w:ind w:left="0" w:right="0" w:hanging="0"/>
        <w:jc w:val="left"/>
        <w:rPr>
          <w:caps w:val="false"/>
          <w:smallCaps w:val="false"/>
        </w:rPr>
      </w:pPr>
      <w:r>
        <w:rPr>
          <w:caps w:val="false"/>
          <w:smallCaps w:val="false"/>
        </w:rPr>
        <w:t> </w:t>
      </w:r>
    </w:p>
    <w:tbl>
      <w:tblPr>
        <w:tblW w:w="1793" w:type="dxa"/>
        <w:jc w:val="left"/>
        <w:tblInd w:w="0" w:type="dxa"/>
        <w:tblLayout w:type="fixed"/>
        <w:tblCellMar>
          <w:top w:w="0" w:type="dxa"/>
          <w:left w:w="0" w:type="dxa"/>
          <w:bottom w:w="0" w:type="dxa"/>
          <w:right w:w="0" w:type="dxa"/>
        </w:tblCellMar>
      </w:tblPr>
      <w:tblGrid>
        <w:gridCol w:w="38"/>
        <w:gridCol w:w="500"/>
        <w:gridCol w:w="1100"/>
        <w:gridCol w:w="15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1.01.</w:t>
            </w:r>
          </w:p>
        </w:tc>
        <w:tc>
          <w:tcPr>
            <w:tcW w:w="1100" w:type="dxa"/>
            <w:tcBorders/>
            <w:vAlign w:val="center"/>
          </w:tcPr>
          <w:p>
            <w:pPr>
              <w:pStyle w:val="TableContents"/>
              <w:bidi w:val="0"/>
              <w:spacing w:before="0" w:after="283"/>
              <w:jc w:val="left"/>
              <w:rPr/>
            </w:pPr>
            <w:r>
              <w:rPr>
                <w:b/>
                <w:i/>
              </w:rPr>
              <w:t>Definitions</w:t>
            </w:r>
            <w:r>
              <w:rPr/>
              <w:tab/>
            </w:r>
          </w:p>
        </w:tc>
        <w:tc>
          <w:tcPr>
            <w:tcW w:w="155"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caps w:val="false"/>
          <w:smallCaps w:val="false"/>
        </w:rPr>
      </w:pPr>
      <w:r>
        <w:rPr>
          <w:caps w:val="false"/>
          <w:smallCaps w:val="false"/>
        </w:rPr>
        <w:t> </w:t>
      </w:r>
    </w:p>
    <w:tbl>
      <w:tblPr>
        <w:tblW w:w="3038" w:type="dxa"/>
        <w:jc w:val="left"/>
        <w:tblInd w:w="0" w:type="dxa"/>
        <w:tblLayout w:type="fixed"/>
        <w:tblCellMar>
          <w:top w:w="0" w:type="dxa"/>
          <w:left w:w="0" w:type="dxa"/>
          <w:bottom w:w="0" w:type="dxa"/>
          <w:right w:w="0" w:type="dxa"/>
        </w:tblCellMar>
      </w:tblPr>
      <w:tblGrid>
        <w:gridCol w:w="38"/>
        <w:gridCol w:w="500"/>
        <w:gridCol w:w="222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1.02.</w:t>
            </w:r>
          </w:p>
        </w:tc>
        <w:tc>
          <w:tcPr>
            <w:tcW w:w="2225" w:type="dxa"/>
            <w:tcBorders/>
            <w:vAlign w:val="center"/>
          </w:tcPr>
          <w:p>
            <w:pPr>
              <w:pStyle w:val="TableContents"/>
              <w:bidi w:val="0"/>
              <w:spacing w:before="0" w:after="283"/>
              <w:jc w:val="left"/>
              <w:rPr/>
            </w:pPr>
            <w:r>
              <w:rPr>
                <w:b/>
                <w:i/>
              </w:rPr>
              <w:t>Rules of Interpretation</w:t>
            </w:r>
            <w:r>
              <w:rPr/>
              <w:tab/>
            </w:r>
          </w:p>
        </w:tc>
        <w:tc>
          <w:tcPr>
            <w:tcW w:w="275" w:type="dxa"/>
            <w:tcBorders/>
            <w:vAlign w:val="center"/>
          </w:tcPr>
          <w:p>
            <w:pPr>
              <w:pStyle w:val="TableContents"/>
              <w:bidi w:val="0"/>
              <w:spacing w:before="0" w:after="283"/>
              <w:jc w:val="right"/>
              <w:rPr/>
            </w:pPr>
            <w:r>
              <w:rPr/>
              <w:t>16</w:t>
            </w:r>
          </w:p>
        </w:tc>
      </w:tr>
    </w:tbl>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5510"/>
        <w:gridCol w:w="245"/>
      </w:tblGrid>
      <w:tr>
        <w:trPr/>
        <w:tc>
          <w:tcPr>
            <w:tcW w:w="5510" w:type="dxa"/>
            <w:tcBorders/>
            <w:vAlign w:val="center"/>
          </w:tcPr>
          <w:p>
            <w:pPr>
              <w:pStyle w:val="TableContents"/>
              <w:bidi w:val="0"/>
              <w:spacing w:before="0" w:after="283"/>
              <w:ind w:left="0" w:right="0" w:hanging="1440"/>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2 SALE OF MEMBERSHIP INTERESTS AND CLOSING</w:t>
            </w:r>
          </w:p>
        </w:tc>
        <w:tc>
          <w:tcPr>
            <w:tcW w:w="24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16</w:t>
            </w:r>
          </w:p>
        </w:tc>
      </w:tr>
    </w:tbl>
    <w:p>
      <w:pPr>
        <w:pStyle w:val="TextBody"/>
        <w:bidi w:val="0"/>
        <w:spacing w:before="0" w:after="0"/>
        <w:ind w:left="0" w:right="0" w:hanging="0"/>
        <w:jc w:val="left"/>
        <w:rPr>
          <w:caps w:val="false"/>
          <w:smallCaps w:val="false"/>
        </w:rPr>
      </w:pPr>
      <w:r>
        <w:rPr>
          <w:caps w:val="false"/>
          <w:smallCaps w:val="false"/>
        </w:rPr>
        <w:t> </w:t>
      </w:r>
    </w:p>
    <w:tbl>
      <w:tblPr>
        <w:tblW w:w="2678" w:type="dxa"/>
        <w:jc w:val="left"/>
        <w:tblInd w:w="0" w:type="dxa"/>
        <w:tblLayout w:type="fixed"/>
        <w:tblCellMar>
          <w:top w:w="0" w:type="dxa"/>
          <w:left w:w="0" w:type="dxa"/>
          <w:bottom w:w="0" w:type="dxa"/>
          <w:right w:w="0" w:type="dxa"/>
        </w:tblCellMar>
      </w:tblPr>
      <w:tblGrid>
        <w:gridCol w:w="38"/>
        <w:gridCol w:w="500"/>
        <w:gridCol w:w="186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2.01.</w:t>
            </w:r>
          </w:p>
        </w:tc>
        <w:tc>
          <w:tcPr>
            <w:tcW w:w="1865" w:type="dxa"/>
            <w:tcBorders/>
            <w:vAlign w:val="center"/>
          </w:tcPr>
          <w:p>
            <w:pPr>
              <w:pStyle w:val="TableContents"/>
              <w:bidi w:val="0"/>
              <w:spacing w:before="0" w:after="283"/>
              <w:jc w:val="left"/>
              <w:rPr/>
            </w:pPr>
            <w:r>
              <w:rPr>
                <w:b/>
                <w:i/>
              </w:rPr>
              <w:t>Purchase and Sale</w:t>
            </w:r>
            <w:r>
              <w:rPr/>
              <w:tab/>
            </w:r>
          </w:p>
        </w:tc>
        <w:tc>
          <w:tcPr>
            <w:tcW w:w="275" w:type="dxa"/>
            <w:tcBorders/>
            <w:vAlign w:val="center"/>
          </w:tcPr>
          <w:p>
            <w:pPr>
              <w:pStyle w:val="TableContents"/>
              <w:bidi w:val="0"/>
              <w:spacing w:before="0" w:after="283"/>
              <w:jc w:val="right"/>
              <w:rPr/>
            </w:pPr>
            <w:r>
              <w:rPr/>
              <w:t>16</w:t>
            </w:r>
          </w:p>
        </w:tc>
      </w:tr>
    </w:tbl>
    <w:p>
      <w:pPr>
        <w:pStyle w:val="TextBody"/>
        <w:bidi w:val="0"/>
        <w:spacing w:before="0" w:after="0"/>
        <w:ind w:left="0" w:right="0" w:hanging="0"/>
        <w:jc w:val="left"/>
        <w:rPr>
          <w:caps w:val="false"/>
          <w:smallCaps w:val="false"/>
        </w:rPr>
      </w:pPr>
      <w:r>
        <w:rPr>
          <w:caps w:val="false"/>
          <w:smallCaps w:val="false"/>
        </w:rPr>
        <w:t> </w:t>
      </w:r>
    </w:p>
    <w:tbl>
      <w:tblPr>
        <w:tblW w:w="3503" w:type="dxa"/>
        <w:jc w:val="left"/>
        <w:tblInd w:w="0" w:type="dxa"/>
        <w:tblLayout w:type="fixed"/>
        <w:tblCellMar>
          <w:top w:w="0" w:type="dxa"/>
          <w:left w:w="0" w:type="dxa"/>
          <w:bottom w:w="0" w:type="dxa"/>
          <w:right w:w="0" w:type="dxa"/>
        </w:tblCellMar>
      </w:tblPr>
      <w:tblGrid>
        <w:gridCol w:w="38"/>
        <w:gridCol w:w="500"/>
        <w:gridCol w:w="269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2.02.</w:t>
            </w:r>
          </w:p>
        </w:tc>
        <w:tc>
          <w:tcPr>
            <w:tcW w:w="2690" w:type="dxa"/>
            <w:tcBorders/>
            <w:vAlign w:val="center"/>
          </w:tcPr>
          <w:p>
            <w:pPr>
              <w:pStyle w:val="TableContents"/>
              <w:bidi w:val="0"/>
              <w:spacing w:before="0" w:after="283"/>
              <w:jc w:val="left"/>
              <w:rPr/>
            </w:pPr>
            <w:r>
              <w:rPr>
                <w:b/>
                <w:i/>
              </w:rPr>
              <w:t>Payment of Purchase Price</w:t>
            </w:r>
            <w:r>
              <w:rPr/>
              <w:tab/>
            </w:r>
          </w:p>
        </w:tc>
        <w:tc>
          <w:tcPr>
            <w:tcW w:w="275" w:type="dxa"/>
            <w:tcBorders/>
            <w:vAlign w:val="center"/>
          </w:tcPr>
          <w:p>
            <w:pPr>
              <w:pStyle w:val="TableContents"/>
              <w:bidi w:val="0"/>
              <w:spacing w:before="0" w:after="283"/>
              <w:jc w:val="right"/>
              <w:rPr/>
            </w:pPr>
            <w:r>
              <w:rPr/>
              <w:t>17</w:t>
            </w:r>
          </w:p>
        </w:tc>
      </w:tr>
    </w:tbl>
    <w:p>
      <w:pPr>
        <w:pStyle w:val="TextBody"/>
        <w:bidi w:val="0"/>
        <w:spacing w:before="0" w:after="0"/>
        <w:ind w:left="0" w:right="0" w:hanging="0"/>
        <w:jc w:val="left"/>
        <w:rPr>
          <w:caps w:val="false"/>
          <w:smallCaps w:val="false"/>
        </w:rPr>
      </w:pPr>
      <w:r>
        <w:rPr>
          <w:caps w:val="false"/>
          <w:smallCaps w:val="false"/>
        </w:rPr>
        <w:t> </w:t>
      </w:r>
    </w:p>
    <w:tbl>
      <w:tblPr>
        <w:tblW w:w="3743" w:type="dxa"/>
        <w:jc w:val="left"/>
        <w:tblInd w:w="0" w:type="dxa"/>
        <w:tblLayout w:type="fixed"/>
        <w:tblCellMar>
          <w:top w:w="0" w:type="dxa"/>
          <w:left w:w="0" w:type="dxa"/>
          <w:bottom w:w="0" w:type="dxa"/>
          <w:right w:w="0" w:type="dxa"/>
        </w:tblCellMar>
      </w:tblPr>
      <w:tblGrid>
        <w:gridCol w:w="38"/>
        <w:gridCol w:w="500"/>
        <w:gridCol w:w="293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2.03.</w:t>
            </w:r>
          </w:p>
        </w:tc>
        <w:tc>
          <w:tcPr>
            <w:tcW w:w="2930" w:type="dxa"/>
            <w:tcBorders/>
            <w:vAlign w:val="center"/>
          </w:tcPr>
          <w:p>
            <w:pPr>
              <w:pStyle w:val="TableContents"/>
              <w:bidi w:val="0"/>
              <w:spacing w:before="0" w:after="283"/>
              <w:jc w:val="left"/>
              <w:rPr/>
            </w:pPr>
            <w:r>
              <w:rPr>
                <w:b/>
                <w:i/>
              </w:rPr>
              <w:t>Closing; Additional Payments</w:t>
            </w:r>
            <w:r>
              <w:rPr/>
              <w:tab/>
            </w:r>
          </w:p>
        </w:tc>
        <w:tc>
          <w:tcPr>
            <w:tcW w:w="275" w:type="dxa"/>
            <w:tcBorders/>
            <w:vAlign w:val="center"/>
          </w:tcPr>
          <w:p>
            <w:pPr>
              <w:pStyle w:val="TableContents"/>
              <w:bidi w:val="0"/>
              <w:spacing w:before="0" w:after="283"/>
              <w:jc w:val="right"/>
              <w:rPr/>
            </w:pPr>
            <w:r>
              <w:rPr/>
              <w:t>17</w:t>
            </w:r>
          </w:p>
        </w:tc>
      </w:tr>
    </w:tbl>
    <w:p>
      <w:pPr>
        <w:pStyle w:val="TextBody"/>
        <w:bidi w:val="0"/>
        <w:spacing w:before="0" w:after="0"/>
        <w:ind w:left="0" w:right="0" w:hanging="0"/>
        <w:jc w:val="left"/>
        <w:rPr>
          <w:caps w:val="false"/>
          <w:smallCaps w:val="false"/>
        </w:rPr>
      </w:pPr>
      <w:r>
        <w:rPr>
          <w:caps w:val="false"/>
          <w:smallCaps w:val="false"/>
        </w:rPr>
        <w:t> </w:t>
      </w:r>
    </w:p>
    <w:tbl>
      <w:tblPr>
        <w:tblW w:w="4103" w:type="dxa"/>
        <w:jc w:val="left"/>
        <w:tblInd w:w="0" w:type="dxa"/>
        <w:tblLayout w:type="fixed"/>
        <w:tblCellMar>
          <w:top w:w="0" w:type="dxa"/>
          <w:left w:w="0" w:type="dxa"/>
          <w:bottom w:w="0" w:type="dxa"/>
          <w:right w:w="0" w:type="dxa"/>
        </w:tblCellMar>
      </w:tblPr>
      <w:tblGrid>
        <w:gridCol w:w="38"/>
        <w:gridCol w:w="500"/>
        <w:gridCol w:w="329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2.04.</w:t>
            </w:r>
          </w:p>
        </w:tc>
        <w:tc>
          <w:tcPr>
            <w:tcW w:w="3290" w:type="dxa"/>
            <w:tcBorders/>
            <w:vAlign w:val="center"/>
          </w:tcPr>
          <w:p>
            <w:pPr>
              <w:pStyle w:val="TableContents"/>
              <w:bidi w:val="0"/>
              <w:spacing w:before="0" w:after="283"/>
              <w:jc w:val="left"/>
              <w:rPr/>
            </w:pPr>
            <w:r>
              <w:rPr>
                <w:b/>
                <w:i/>
              </w:rPr>
              <w:t>Adjusted Purchase Price Amount</w:t>
            </w:r>
            <w:r>
              <w:rPr/>
              <w:tab/>
            </w:r>
          </w:p>
        </w:tc>
        <w:tc>
          <w:tcPr>
            <w:tcW w:w="275" w:type="dxa"/>
            <w:tcBorders/>
            <w:vAlign w:val="center"/>
          </w:tcPr>
          <w:p>
            <w:pPr>
              <w:pStyle w:val="TableContents"/>
              <w:bidi w:val="0"/>
              <w:spacing w:before="0" w:after="283"/>
              <w:jc w:val="right"/>
              <w:rPr/>
            </w:pPr>
            <w:r>
              <w:rPr/>
              <w:t>18</w:t>
            </w:r>
          </w:p>
        </w:tc>
      </w:tr>
    </w:tbl>
    <w:p>
      <w:pPr>
        <w:pStyle w:val="TextBody"/>
        <w:bidi w:val="0"/>
        <w:spacing w:before="0" w:after="0"/>
        <w:ind w:left="0" w:right="0" w:hanging="0"/>
        <w:jc w:val="left"/>
        <w:rPr>
          <w:caps w:val="false"/>
          <w:smallCaps w:val="false"/>
        </w:rPr>
      </w:pPr>
      <w:r>
        <w:rPr>
          <w:caps w:val="false"/>
          <w:smallCaps w:val="false"/>
        </w:rPr>
        <w:t> </w:t>
      </w:r>
    </w:p>
    <w:tbl>
      <w:tblPr>
        <w:tblW w:w="2513" w:type="dxa"/>
        <w:jc w:val="left"/>
        <w:tblInd w:w="0" w:type="dxa"/>
        <w:tblLayout w:type="fixed"/>
        <w:tblCellMar>
          <w:top w:w="0" w:type="dxa"/>
          <w:left w:w="0" w:type="dxa"/>
          <w:bottom w:w="0" w:type="dxa"/>
          <w:right w:w="0" w:type="dxa"/>
        </w:tblCellMar>
      </w:tblPr>
      <w:tblGrid>
        <w:gridCol w:w="38"/>
        <w:gridCol w:w="500"/>
        <w:gridCol w:w="170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2.05.</w:t>
            </w:r>
          </w:p>
        </w:tc>
        <w:tc>
          <w:tcPr>
            <w:tcW w:w="1700" w:type="dxa"/>
            <w:tcBorders/>
            <w:vAlign w:val="center"/>
          </w:tcPr>
          <w:p>
            <w:pPr>
              <w:pStyle w:val="TableContents"/>
              <w:bidi w:val="0"/>
              <w:spacing w:before="0" w:after="283"/>
              <w:jc w:val="left"/>
              <w:rPr/>
            </w:pPr>
            <w:r>
              <w:rPr>
                <w:b/>
                <w:i/>
              </w:rPr>
              <w:t>Certain Proceeds</w:t>
            </w:r>
            <w:r>
              <w:rPr/>
              <w:tab/>
            </w:r>
          </w:p>
        </w:tc>
        <w:tc>
          <w:tcPr>
            <w:tcW w:w="275" w:type="dxa"/>
            <w:tcBorders/>
            <w:vAlign w:val="center"/>
          </w:tcPr>
          <w:p>
            <w:pPr>
              <w:pStyle w:val="TableContents"/>
              <w:bidi w:val="0"/>
              <w:spacing w:before="0" w:after="283"/>
              <w:jc w:val="right"/>
              <w:rPr/>
            </w:pPr>
            <w:r>
              <w:rPr/>
              <w:t>18</w:t>
            </w:r>
          </w:p>
        </w:tc>
      </w:tr>
    </w:tbl>
    <w:p>
      <w:pPr>
        <w:pStyle w:val="TextBody"/>
        <w:bidi w:val="0"/>
        <w:spacing w:before="0" w:after="0"/>
        <w:ind w:left="0" w:right="0" w:hanging="0"/>
        <w:jc w:val="left"/>
        <w:rPr>
          <w:caps w:val="false"/>
          <w:smallCaps w:val="false"/>
        </w:rPr>
      </w:pPr>
      <w:r>
        <w:rPr>
          <w:caps w:val="false"/>
          <w:smallCaps w:val="false"/>
        </w:rPr>
        <w:t> </w:t>
      </w:r>
    </w:p>
    <w:tbl>
      <w:tblPr>
        <w:tblW w:w="3758" w:type="dxa"/>
        <w:jc w:val="left"/>
        <w:tblInd w:w="0" w:type="dxa"/>
        <w:tblLayout w:type="fixed"/>
        <w:tblCellMar>
          <w:top w:w="0" w:type="dxa"/>
          <w:left w:w="0" w:type="dxa"/>
          <w:bottom w:w="0" w:type="dxa"/>
          <w:right w:w="0" w:type="dxa"/>
        </w:tblCellMar>
      </w:tblPr>
      <w:tblGrid>
        <w:gridCol w:w="38"/>
        <w:gridCol w:w="500"/>
        <w:gridCol w:w="294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2.06.</w:t>
            </w:r>
          </w:p>
        </w:tc>
        <w:tc>
          <w:tcPr>
            <w:tcW w:w="2945" w:type="dxa"/>
            <w:tcBorders/>
            <w:vAlign w:val="center"/>
          </w:tcPr>
          <w:p>
            <w:pPr>
              <w:pStyle w:val="TableContents"/>
              <w:bidi w:val="0"/>
              <w:spacing w:before="0" w:after="283"/>
              <w:jc w:val="left"/>
              <w:rPr/>
            </w:pPr>
            <w:r>
              <w:rPr>
                <w:b/>
                <w:i/>
              </w:rPr>
              <w:t>Tax Reporting of Transaction</w:t>
            </w:r>
            <w:r>
              <w:rPr/>
              <w:tab/>
            </w:r>
          </w:p>
        </w:tc>
        <w:tc>
          <w:tcPr>
            <w:tcW w:w="275" w:type="dxa"/>
            <w:tcBorders/>
            <w:vAlign w:val="center"/>
          </w:tcPr>
          <w:p>
            <w:pPr>
              <w:pStyle w:val="TableContents"/>
              <w:bidi w:val="0"/>
              <w:spacing w:before="0" w:after="283"/>
              <w:jc w:val="right"/>
              <w:rPr/>
            </w:pPr>
            <w:r>
              <w:rPr/>
              <w:t>19</w:t>
            </w:r>
          </w:p>
        </w:tc>
      </w:tr>
    </w:tbl>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4580"/>
        <w:gridCol w:w="245"/>
      </w:tblGrid>
      <w:tr>
        <w:trPr/>
        <w:tc>
          <w:tcPr>
            <w:tcW w:w="4580" w:type="dxa"/>
            <w:tcBorders/>
            <w:vAlign w:val="center"/>
          </w:tcPr>
          <w:p>
            <w:pPr>
              <w:pStyle w:val="TableContents"/>
              <w:bidi w:val="0"/>
              <w:spacing w:before="0" w:after="283"/>
              <w:ind w:left="0" w:right="0" w:hanging="1440"/>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3 REPRESENTATIONS AND WARRANTIES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20</w:t>
            </w:r>
          </w:p>
        </w:tc>
      </w:tr>
    </w:tbl>
    <w:p>
      <w:pPr>
        <w:pStyle w:val="TextBody"/>
        <w:bidi w:val="0"/>
        <w:spacing w:before="0" w:after="0"/>
        <w:ind w:left="0" w:right="0" w:hanging="0"/>
        <w:jc w:val="left"/>
        <w:rPr>
          <w:caps w:val="false"/>
          <w:smallCaps w:val="false"/>
        </w:rPr>
      </w:pPr>
      <w:r>
        <w:rPr>
          <w:caps w:val="false"/>
          <w:smallCaps w:val="false"/>
        </w:rPr>
        <w:t> </w:t>
      </w:r>
    </w:p>
    <w:tbl>
      <w:tblPr>
        <w:tblW w:w="8948" w:type="dxa"/>
        <w:jc w:val="left"/>
        <w:tblInd w:w="0" w:type="dxa"/>
        <w:tblLayout w:type="fixed"/>
        <w:tblCellMar>
          <w:top w:w="0" w:type="dxa"/>
          <w:left w:w="0" w:type="dxa"/>
          <w:bottom w:w="0" w:type="dxa"/>
          <w:right w:w="0" w:type="dxa"/>
        </w:tblCellMar>
      </w:tblPr>
      <w:tblGrid>
        <w:gridCol w:w="38"/>
        <w:gridCol w:w="500"/>
        <w:gridCol w:w="813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3.01.</w:t>
            </w:r>
          </w:p>
        </w:tc>
        <w:tc>
          <w:tcPr>
            <w:tcW w:w="8135" w:type="dxa"/>
            <w:tcBorders/>
            <w:vAlign w:val="center"/>
          </w:tcPr>
          <w:p>
            <w:pPr>
              <w:pStyle w:val="TableContents"/>
              <w:bidi w:val="0"/>
              <w:spacing w:before="0" w:after="283"/>
              <w:jc w:val="left"/>
              <w:rPr/>
            </w:pPr>
            <w:r>
              <w:rPr>
                <w:b/>
                <w:i/>
              </w:rPr>
              <w:t>Representations and Warranties with respect to Seller and the Acquired Companies</w:t>
            </w:r>
            <w:r>
              <w:rPr/>
              <w:tab/>
            </w:r>
          </w:p>
        </w:tc>
        <w:tc>
          <w:tcPr>
            <w:tcW w:w="275" w:type="dxa"/>
            <w:tcBorders/>
            <w:vAlign w:val="center"/>
          </w:tcPr>
          <w:p>
            <w:pPr>
              <w:pStyle w:val="TableContents"/>
              <w:bidi w:val="0"/>
              <w:spacing w:before="0" w:after="283"/>
              <w:jc w:val="right"/>
              <w:rPr/>
            </w:pPr>
            <w:r>
              <w:rPr/>
              <w:t>20</w:t>
            </w:r>
          </w:p>
        </w:tc>
      </w:tr>
    </w:tbl>
    <w:p>
      <w:pPr>
        <w:pStyle w:val="TextBody"/>
        <w:bidi w:val="0"/>
        <w:spacing w:before="0" w:after="0"/>
        <w:ind w:left="0" w:right="0" w:hanging="0"/>
        <w:jc w:val="left"/>
        <w:rPr>
          <w:caps w:val="false"/>
          <w:smallCaps w:val="false"/>
        </w:rPr>
      </w:pPr>
      <w:r>
        <w:rPr>
          <w:caps w:val="false"/>
          <w:smallCaps w:val="false"/>
        </w:rPr>
        <w:t> </w:t>
      </w:r>
    </w:p>
    <w:tbl>
      <w:tblPr>
        <w:tblW w:w="6578" w:type="dxa"/>
        <w:jc w:val="left"/>
        <w:tblInd w:w="0" w:type="dxa"/>
        <w:tblLayout w:type="fixed"/>
        <w:tblCellMar>
          <w:top w:w="0" w:type="dxa"/>
          <w:left w:w="0" w:type="dxa"/>
          <w:bottom w:w="0" w:type="dxa"/>
          <w:right w:w="0" w:type="dxa"/>
        </w:tblCellMar>
      </w:tblPr>
      <w:tblGrid>
        <w:gridCol w:w="38"/>
        <w:gridCol w:w="500"/>
        <w:gridCol w:w="576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3.02.</w:t>
            </w:r>
          </w:p>
        </w:tc>
        <w:tc>
          <w:tcPr>
            <w:tcW w:w="5765" w:type="dxa"/>
            <w:tcBorders/>
            <w:vAlign w:val="center"/>
          </w:tcPr>
          <w:p>
            <w:pPr>
              <w:pStyle w:val="TableContents"/>
              <w:bidi w:val="0"/>
              <w:spacing w:before="0" w:after="283"/>
              <w:jc w:val="left"/>
              <w:rPr/>
            </w:pPr>
            <w:r>
              <w:rPr>
                <w:b/>
                <w:i/>
              </w:rPr>
              <w:t>Representations and Warranties with Respect to Purchaser</w:t>
            </w:r>
            <w:r>
              <w:rPr/>
              <w:tab/>
            </w:r>
          </w:p>
        </w:tc>
        <w:tc>
          <w:tcPr>
            <w:tcW w:w="275" w:type="dxa"/>
            <w:tcBorders/>
            <w:vAlign w:val="center"/>
          </w:tcPr>
          <w:p>
            <w:pPr>
              <w:pStyle w:val="TableContents"/>
              <w:bidi w:val="0"/>
              <w:spacing w:before="0" w:after="283"/>
              <w:jc w:val="right"/>
              <w:rPr/>
            </w:pPr>
            <w:r>
              <w:rPr/>
              <w:t>30</w:t>
            </w:r>
          </w:p>
        </w:tc>
      </w:tr>
    </w:tbl>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3365"/>
        <w:gridCol w:w="245"/>
      </w:tblGrid>
      <w:tr>
        <w:trPr/>
        <w:tc>
          <w:tcPr>
            <w:tcW w:w="3365" w:type="dxa"/>
            <w:tcBorders/>
            <w:vAlign w:val="center"/>
          </w:tcPr>
          <w:p>
            <w:pPr>
              <w:pStyle w:val="TableContents"/>
              <w:bidi w:val="0"/>
              <w:spacing w:before="0" w:after="283"/>
              <w:ind w:left="0" w:right="0" w:hanging="1440"/>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4 CONDITIONS PRECEDENT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32</w:t>
            </w:r>
          </w:p>
        </w:tc>
      </w:tr>
    </w:tbl>
    <w:p>
      <w:pPr>
        <w:pStyle w:val="TextBody"/>
        <w:bidi w:val="0"/>
        <w:spacing w:before="0" w:after="0"/>
        <w:ind w:left="0" w:right="0" w:hanging="0"/>
        <w:jc w:val="left"/>
        <w:rPr>
          <w:caps w:val="false"/>
          <w:smallCaps w:val="false"/>
        </w:rPr>
      </w:pPr>
      <w:r>
        <w:rPr>
          <w:caps w:val="false"/>
          <w:smallCaps w:val="false"/>
        </w:rPr>
        <w:t> </w:t>
      </w:r>
    </w:p>
    <w:tbl>
      <w:tblPr>
        <w:tblW w:w="5618" w:type="dxa"/>
        <w:jc w:val="left"/>
        <w:tblInd w:w="0" w:type="dxa"/>
        <w:tblLayout w:type="fixed"/>
        <w:tblCellMar>
          <w:top w:w="0" w:type="dxa"/>
          <w:left w:w="0" w:type="dxa"/>
          <w:bottom w:w="0" w:type="dxa"/>
          <w:right w:w="0" w:type="dxa"/>
        </w:tblCellMar>
      </w:tblPr>
      <w:tblGrid>
        <w:gridCol w:w="38"/>
        <w:gridCol w:w="500"/>
        <w:gridCol w:w="480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4.01.</w:t>
            </w:r>
          </w:p>
        </w:tc>
        <w:tc>
          <w:tcPr>
            <w:tcW w:w="4805" w:type="dxa"/>
            <w:tcBorders/>
            <w:vAlign w:val="center"/>
          </w:tcPr>
          <w:p>
            <w:pPr>
              <w:pStyle w:val="TableContents"/>
              <w:bidi w:val="0"/>
              <w:spacing w:before="0" w:after="283"/>
              <w:jc w:val="left"/>
              <w:rPr/>
            </w:pPr>
            <w:r>
              <w:rPr>
                <w:b/>
                <w:i/>
              </w:rPr>
              <w:t>Closing Date Conditions Precedent of the Parties</w:t>
            </w:r>
            <w:r>
              <w:rPr/>
              <w:tab/>
            </w:r>
          </w:p>
        </w:tc>
        <w:tc>
          <w:tcPr>
            <w:tcW w:w="275" w:type="dxa"/>
            <w:tcBorders/>
            <w:vAlign w:val="center"/>
          </w:tcPr>
          <w:p>
            <w:pPr>
              <w:pStyle w:val="TableContents"/>
              <w:bidi w:val="0"/>
              <w:spacing w:before="0" w:after="283"/>
              <w:jc w:val="right"/>
              <w:rPr/>
            </w:pPr>
            <w:r>
              <w:rPr/>
              <w:t>32</w:t>
            </w:r>
          </w:p>
        </w:tc>
      </w:tr>
    </w:tbl>
    <w:p>
      <w:pPr>
        <w:pStyle w:val="TextBody"/>
        <w:bidi w:val="0"/>
        <w:spacing w:before="0" w:after="0"/>
        <w:ind w:left="0" w:right="0" w:hanging="0"/>
        <w:jc w:val="left"/>
        <w:rPr>
          <w:caps w:val="false"/>
          <w:smallCaps w:val="false"/>
        </w:rPr>
      </w:pPr>
      <w:r>
        <w:rPr>
          <w:caps w:val="false"/>
          <w:smallCaps w:val="false"/>
        </w:rPr>
        <w:t> </w:t>
      </w:r>
    </w:p>
    <w:tbl>
      <w:tblPr>
        <w:tblW w:w="5963" w:type="dxa"/>
        <w:jc w:val="left"/>
        <w:tblInd w:w="0" w:type="dxa"/>
        <w:tblLayout w:type="fixed"/>
        <w:tblCellMar>
          <w:top w:w="0" w:type="dxa"/>
          <w:left w:w="0" w:type="dxa"/>
          <w:bottom w:w="0" w:type="dxa"/>
          <w:right w:w="0" w:type="dxa"/>
        </w:tblCellMar>
      </w:tblPr>
      <w:tblGrid>
        <w:gridCol w:w="38"/>
        <w:gridCol w:w="500"/>
        <w:gridCol w:w="515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4.02.</w:t>
            </w:r>
          </w:p>
        </w:tc>
        <w:tc>
          <w:tcPr>
            <w:tcW w:w="5150" w:type="dxa"/>
            <w:tcBorders/>
            <w:vAlign w:val="center"/>
          </w:tcPr>
          <w:p>
            <w:pPr>
              <w:pStyle w:val="TableContents"/>
              <w:bidi w:val="0"/>
              <w:spacing w:before="0" w:after="283"/>
              <w:jc w:val="left"/>
              <w:rPr/>
            </w:pPr>
            <w:r>
              <w:rPr>
                <w:b/>
                <w:i/>
              </w:rPr>
              <w:t>Closing Date Conditions Precedent of the Purchaser</w:t>
            </w:r>
            <w:r>
              <w:rPr/>
              <w:tab/>
            </w:r>
          </w:p>
        </w:tc>
        <w:tc>
          <w:tcPr>
            <w:tcW w:w="275" w:type="dxa"/>
            <w:tcBorders/>
            <w:vAlign w:val="center"/>
          </w:tcPr>
          <w:p>
            <w:pPr>
              <w:pStyle w:val="TableContents"/>
              <w:bidi w:val="0"/>
              <w:spacing w:before="0" w:after="283"/>
              <w:jc w:val="right"/>
              <w:rPr/>
            </w:pPr>
            <w:r>
              <w:rPr/>
              <w:t>32</w:t>
            </w:r>
          </w:p>
        </w:tc>
      </w:tr>
    </w:tbl>
    <w:p>
      <w:pPr>
        <w:pStyle w:val="TextBody"/>
        <w:bidi w:val="0"/>
        <w:spacing w:before="0" w:after="0"/>
        <w:ind w:left="0" w:right="0" w:hanging="0"/>
        <w:jc w:val="left"/>
        <w:rPr>
          <w:caps w:val="false"/>
          <w:smallCaps w:val="false"/>
        </w:rPr>
      </w:pPr>
      <w:r>
        <w:rPr>
          <w:caps w:val="false"/>
          <w:smallCaps w:val="false"/>
        </w:rPr>
        <w:t> </w:t>
      </w:r>
    </w:p>
    <w:tbl>
      <w:tblPr>
        <w:tblW w:w="5498" w:type="dxa"/>
        <w:jc w:val="left"/>
        <w:tblInd w:w="0" w:type="dxa"/>
        <w:tblLayout w:type="fixed"/>
        <w:tblCellMar>
          <w:top w:w="0" w:type="dxa"/>
          <w:left w:w="0" w:type="dxa"/>
          <w:bottom w:w="0" w:type="dxa"/>
          <w:right w:w="0" w:type="dxa"/>
        </w:tblCellMar>
      </w:tblPr>
      <w:tblGrid>
        <w:gridCol w:w="38"/>
        <w:gridCol w:w="500"/>
        <w:gridCol w:w="468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4.03.</w:t>
            </w:r>
          </w:p>
        </w:tc>
        <w:tc>
          <w:tcPr>
            <w:tcW w:w="4685" w:type="dxa"/>
            <w:tcBorders/>
            <w:vAlign w:val="center"/>
          </w:tcPr>
          <w:p>
            <w:pPr>
              <w:pStyle w:val="TableContents"/>
              <w:bidi w:val="0"/>
              <w:spacing w:before="0" w:after="283"/>
              <w:jc w:val="left"/>
              <w:rPr/>
            </w:pPr>
            <w:r>
              <w:rPr>
                <w:b/>
                <w:i/>
              </w:rPr>
              <w:t>Closing Date Conditions Precedent of the Seller</w:t>
            </w:r>
            <w:r>
              <w:rPr/>
              <w:tab/>
            </w:r>
          </w:p>
        </w:tc>
        <w:tc>
          <w:tcPr>
            <w:tcW w:w="275" w:type="dxa"/>
            <w:tcBorders/>
            <w:vAlign w:val="center"/>
          </w:tcPr>
          <w:p>
            <w:pPr>
              <w:pStyle w:val="TableContents"/>
              <w:bidi w:val="0"/>
              <w:spacing w:before="0" w:after="283"/>
              <w:jc w:val="right"/>
              <w:rPr/>
            </w:pPr>
            <w:r>
              <w:rPr/>
              <w:t>33</w:t>
            </w:r>
          </w:p>
        </w:tc>
      </w:tr>
    </w:tbl>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3080"/>
        <w:gridCol w:w="245"/>
      </w:tblGrid>
      <w:tr>
        <w:trPr/>
        <w:tc>
          <w:tcPr>
            <w:tcW w:w="3080" w:type="dxa"/>
            <w:tcBorders/>
            <w:vAlign w:val="center"/>
          </w:tcPr>
          <w:p>
            <w:pPr>
              <w:pStyle w:val="TableContents"/>
              <w:bidi w:val="0"/>
              <w:spacing w:before="0" w:after="283"/>
              <w:ind w:left="0" w:right="0" w:hanging="1440"/>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5 Certain Covenants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34</w:t>
            </w:r>
          </w:p>
        </w:tc>
      </w:tr>
    </w:tbl>
    <w:p>
      <w:pPr>
        <w:pStyle w:val="TextBody"/>
        <w:bidi w:val="0"/>
        <w:spacing w:before="0" w:after="0"/>
        <w:ind w:left="0" w:right="0" w:hanging="0"/>
        <w:jc w:val="left"/>
        <w:rPr>
          <w:caps w:val="false"/>
          <w:smallCaps w:val="false"/>
        </w:rPr>
      </w:pPr>
      <w:r>
        <w:rPr>
          <w:caps w:val="false"/>
          <w:smallCaps w:val="false"/>
        </w:rPr>
        <w:t> </w:t>
      </w:r>
    </w:p>
    <w:tbl>
      <w:tblPr>
        <w:tblW w:w="3773" w:type="dxa"/>
        <w:jc w:val="left"/>
        <w:tblInd w:w="0" w:type="dxa"/>
        <w:tblLayout w:type="fixed"/>
        <w:tblCellMar>
          <w:top w:w="0" w:type="dxa"/>
          <w:left w:w="0" w:type="dxa"/>
          <w:bottom w:w="0" w:type="dxa"/>
          <w:right w:w="0" w:type="dxa"/>
        </w:tblCellMar>
      </w:tblPr>
      <w:tblGrid>
        <w:gridCol w:w="38"/>
        <w:gridCol w:w="500"/>
        <w:gridCol w:w="29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5.01.</w:t>
            </w:r>
          </w:p>
        </w:tc>
        <w:tc>
          <w:tcPr>
            <w:tcW w:w="2960" w:type="dxa"/>
            <w:tcBorders/>
            <w:vAlign w:val="center"/>
          </w:tcPr>
          <w:p>
            <w:pPr>
              <w:pStyle w:val="TableContents"/>
              <w:bidi w:val="0"/>
              <w:spacing w:before="0" w:after="283"/>
              <w:jc w:val="left"/>
              <w:rPr/>
            </w:pPr>
            <w:r>
              <w:rPr>
                <w:b/>
                <w:i/>
              </w:rPr>
              <w:t>Regulatory and Other Permits</w:t>
            </w:r>
            <w:r>
              <w:rPr/>
              <w:tab/>
            </w:r>
          </w:p>
        </w:tc>
        <w:tc>
          <w:tcPr>
            <w:tcW w:w="275" w:type="dxa"/>
            <w:tcBorders/>
            <w:vAlign w:val="center"/>
          </w:tcPr>
          <w:p>
            <w:pPr>
              <w:pStyle w:val="TableContents"/>
              <w:bidi w:val="0"/>
              <w:spacing w:before="0" w:after="283"/>
              <w:jc w:val="right"/>
              <w:rPr/>
            </w:pPr>
            <w:r>
              <w:rPr/>
              <w:t>34</w:t>
            </w:r>
          </w:p>
        </w:tc>
      </w:tr>
    </w:tbl>
    <w:p>
      <w:pPr>
        <w:pStyle w:val="TextBody"/>
        <w:bidi w:val="0"/>
        <w:spacing w:before="0" w:after="0"/>
        <w:ind w:left="0" w:right="0" w:hanging="0"/>
        <w:jc w:val="left"/>
        <w:rPr>
          <w:caps w:val="false"/>
          <w:smallCaps w:val="false"/>
        </w:rPr>
      </w:pPr>
      <w:r>
        <w:rPr>
          <w:caps w:val="false"/>
          <w:smallCaps w:val="false"/>
        </w:rPr>
        <w:t> </w:t>
      </w:r>
    </w:p>
    <w:tbl>
      <w:tblPr>
        <w:tblW w:w="2978" w:type="dxa"/>
        <w:jc w:val="left"/>
        <w:tblInd w:w="0" w:type="dxa"/>
        <w:tblLayout w:type="fixed"/>
        <w:tblCellMar>
          <w:top w:w="0" w:type="dxa"/>
          <w:left w:w="0" w:type="dxa"/>
          <w:bottom w:w="0" w:type="dxa"/>
          <w:right w:w="0" w:type="dxa"/>
        </w:tblCellMar>
      </w:tblPr>
      <w:tblGrid>
        <w:gridCol w:w="38"/>
        <w:gridCol w:w="500"/>
        <w:gridCol w:w="216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5.02.</w:t>
            </w:r>
          </w:p>
        </w:tc>
        <w:tc>
          <w:tcPr>
            <w:tcW w:w="2165" w:type="dxa"/>
            <w:tcBorders/>
            <w:vAlign w:val="center"/>
          </w:tcPr>
          <w:p>
            <w:pPr>
              <w:pStyle w:val="TableContents"/>
              <w:bidi w:val="0"/>
              <w:spacing w:before="0" w:after="283"/>
              <w:jc w:val="left"/>
              <w:rPr/>
            </w:pPr>
            <w:r>
              <w:rPr>
                <w:b/>
                <w:i/>
              </w:rPr>
              <w:t>Access to Information</w:t>
            </w:r>
            <w:r>
              <w:rPr/>
              <w:tab/>
            </w:r>
          </w:p>
        </w:tc>
        <w:tc>
          <w:tcPr>
            <w:tcW w:w="275" w:type="dxa"/>
            <w:tcBorders/>
            <w:vAlign w:val="center"/>
          </w:tcPr>
          <w:p>
            <w:pPr>
              <w:pStyle w:val="TableContents"/>
              <w:bidi w:val="0"/>
              <w:spacing w:before="0" w:after="283"/>
              <w:jc w:val="right"/>
              <w:rPr/>
            </w:pPr>
            <w:r>
              <w:rPr/>
              <w:t>34</w:t>
            </w:r>
          </w:p>
        </w:tc>
      </w:tr>
    </w:tbl>
    <w:p>
      <w:pPr>
        <w:pStyle w:val="TextBody"/>
        <w:bidi w:val="0"/>
        <w:spacing w:before="0" w:after="0"/>
        <w:ind w:left="0" w:right="0" w:hanging="0"/>
        <w:jc w:val="left"/>
        <w:rPr>
          <w:caps w:val="false"/>
          <w:smallCaps w:val="false"/>
        </w:rPr>
      </w:pPr>
      <w:r>
        <w:rPr>
          <w:caps w:val="false"/>
          <w:smallCaps w:val="false"/>
        </w:rPr>
        <w:t> </w:t>
      </w:r>
    </w:p>
    <w:tbl>
      <w:tblPr>
        <w:tblW w:w="3833" w:type="dxa"/>
        <w:jc w:val="left"/>
        <w:tblInd w:w="0" w:type="dxa"/>
        <w:tblLayout w:type="fixed"/>
        <w:tblCellMar>
          <w:top w:w="0" w:type="dxa"/>
          <w:left w:w="0" w:type="dxa"/>
          <w:bottom w:w="0" w:type="dxa"/>
          <w:right w:w="0" w:type="dxa"/>
        </w:tblCellMar>
      </w:tblPr>
      <w:tblGrid>
        <w:gridCol w:w="38"/>
        <w:gridCol w:w="500"/>
        <w:gridCol w:w="30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5.03.</w:t>
            </w:r>
          </w:p>
        </w:tc>
        <w:tc>
          <w:tcPr>
            <w:tcW w:w="3020" w:type="dxa"/>
            <w:tcBorders/>
            <w:vAlign w:val="center"/>
          </w:tcPr>
          <w:p>
            <w:pPr>
              <w:pStyle w:val="TableContents"/>
              <w:bidi w:val="0"/>
              <w:spacing w:before="0" w:after="283"/>
              <w:jc w:val="left"/>
              <w:rPr/>
            </w:pPr>
            <w:r>
              <w:rPr>
                <w:b/>
                <w:i/>
              </w:rPr>
              <w:t>Notification of Certain Matters</w:t>
            </w:r>
            <w:r>
              <w:rPr/>
              <w:tab/>
            </w:r>
          </w:p>
        </w:tc>
        <w:tc>
          <w:tcPr>
            <w:tcW w:w="275" w:type="dxa"/>
            <w:tcBorders/>
            <w:vAlign w:val="center"/>
          </w:tcPr>
          <w:p>
            <w:pPr>
              <w:pStyle w:val="TableContents"/>
              <w:bidi w:val="0"/>
              <w:spacing w:before="0" w:after="283"/>
              <w:jc w:val="right"/>
              <w:rPr/>
            </w:pPr>
            <w:r>
              <w:rPr/>
              <w:t>34</w:t>
            </w:r>
          </w:p>
        </w:tc>
      </w:tr>
    </w:tbl>
    <w:p>
      <w:pPr>
        <w:pStyle w:val="TextBody"/>
        <w:bidi w:val="0"/>
        <w:spacing w:before="0" w:after="0"/>
        <w:ind w:left="0" w:right="0" w:hanging="0"/>
        <w:jc w:val="left"/>
        <w:rPr>
          <w:caps w:val="false"/>
          <w:smallCaps w:val="false"/>
        </w:rPr>
      </w:pPr>
      <w:r>
        <w:rPr>
          <w:caps w:val="false"/>
          <w:smallCaps w:val="false"/>
        </w:rPr>
        <w:t> </w:t>
      </w:r>
    </w:p>
    <w:tbl>
      <w:tblPr>
        <w:tblW w:w="2858" w:type="dxa"/>
        <w:jc w:val="left"/>
        <w:tblInd w:w="0" w:type="dxa"/>
        <w:tblLayout w:type="fixed"/>
        <w:tblCellMar>
          <w:top w:w="0" w:type="dxa"/>
          <w:left w:w="0" w:type="dxa"/>
          <w:bottom w:w="0" w:type="dxa"/>
          <w:right w:w="0" w:type="dxa"/>
        </w:tblCellMar>
      </w:tblPr>
      <w:tblGrid>
        <w:gridCol w:w="38"/>
        <w:gridCol w:w="500"/>
        <w:gridCol w:w="204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5.04.</w:t>
            </w:r>
          </w:p>
        </w:tc>
        <w:tc>
          <w:tcPr>
            <w:tcW w:w="2045" w:type="dxa"/>
            <w:tcBorders/>
            <w:vAlign w:val="center"/>
          </w:tcPr>
          <w:p>
            <w:pPr>
              <w:pStyle w:val="TableContents"/>
              <w:bidi w:val="0"/>
              <w:spacing w:before="0" w:after="283"/>
              <w:jc w:val="left"/>
              <w:rPr/>
            </w:pPr>
            <w:r>
              <w:rPr>
                <w:b/>
                <w:i/>
              </w:rPr>
              <w:t>Conduct of Business</w:t>
            </w:r>
            <w:r>
              <w:rPr/>
              <w:tab/>
            </w:r>
          </w:p>
        </w:tc>
        <w:tc>
          <w:tcPr>
            <w:tcW w:w="275" w:type="dxa"/>
            <w:tcBorders/>
            <w:vAlign w:val="center"/>
          </w:tcPr>
          <w:p>
            <w:pPr>
              <w:pStyle w:val="TableContents"/>
              <w:bidi w:val="0"/>
              <w:spacing w:before="0" w:after="283"/>
              <w:jc w:val="right"/>
              <w:rPr/>
            </w:pPr>
            <w:r>
              <w:rPr/>
              <w:t>35</w:t>
            </w:r>
          </w:p>
        </w:tc>
      </w:tr>
    </w:tbl>
    <w:p>
      <w:pPr>
        <w:pStyle w:val="TextBody"/>
        <w:bidi w:val="0"/>
        <w:spacing w:before="0" w:after="0"/>
        <w:ind w:left="0" w:right="0" w:hanging="0"/>
        <w:jc w:val="left"/>
        <w:rPr>
          <w:caps w:val="false"/>
          <w:smallCaps w:val="false"/>
        </w:rPr>
      </w:pPr>
      <w:r>
        <w:rPr>
          <w:caps w:val="false"/>
          <w:smallCaps w:val="false"/>
        </w:rPr>
        <w:t> </w:t>
      </w:r>
    </w:p>
    <w:tbl>
      <w:tblPr>
        <w:tblW w:w="3308" w:type="dxa"/>
        <w:jc w:val="left"/>
        <w:tblInd w:w="0" w:type="dxa"/>
        <w:tblLayout w:type="fixed"/>
        <w:tblCellMar>
          <w:top w:w="0" w:type="dxa"/>
          <w:left w:w="0" w:type="dxa"/>
          <w:bottom w:w="0" w:type="dxa"/>
          <w:right w:w="0" w:type="dxa"/>
        </w:tblCellMar>
      </w:tblPr>
      <w:tblGrid>
        <w:gridCol w:w="38"/>
        <w:gridCol w:w="500"/>
        <w:gridCol w:w="249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5.05.</w:t>
            </w:r>
          </w:p>
        </w:tc>
        <w:tc>
          <w:tcPr>
            <w:tcW w:w="2495" w:type="dxa"/>
            <w:tcBorders/>
            <w:vAlign w:val="center"/>
          </w:tcPr>
          <w:p>
            <w:pPr>
              <w:pStyle w:val="TableContents"/>
              <w:bidi w:val="0"/>
              <w:spacing w:before="0" w:after="283"/>
              <w:jc w:val="left"/>
              <w:rPr/>
            </w:pPr>
            <w:r>
              <w:rPr>
                <w:b/>
                <w:i/>
              </w:rPr>
              <w:t>Fulfillment of Conditions</w:t>
            </w:r>
            <w:r>
              <w:rPr/>
              <w:tab/>
            </w:r>
          </w:p>
        </w:tc>
        <w:tc>
          <w:tcPr>
            <w:tcW w:w="275" w:type="dxa"/>
            <w:tcBorders/>
            <w:vAlign w:val="center"/>
          </w:tcPr>
          <w:p>
            <w:pPr>
              <w:pStyle w:val="TableContents"/>
              <w:bidi w:val="0"/>
              <w:spacing w:before="0" w:after="283"/>
              <w:jc w:val="right"/>
              <w:rPr/>
            </w:pPr>
            <w:r>
              <w:rPr/>
              <w:t>37</w:t>
            </w:r>
          </w:p>
        </w:tc>
      </w:tr>
    </w:tbl>
    <w:p>
      <w:pPr>
        <w:pStyle w:val="TextBody"/>
        <w:bidi w:val="0"/>
        <w:spacing w:before="0" w:after="0"/>
        <w:ind w:left="0" w:right="0" w:hanging="0"/>
        <w:jc w:val="left"/>
        <w:rPr>
          <w:caps w:val="false"/>
          <w:smallCaps w:val="false"/>
        </w:rPr>
      </w:pPr>
      <w:r>
        <w:rPr>
          <w:caps w:val="false"/>
          <w:smallCaps w:val="false"/>
        </w:rPr>
        <w:t> </w:t>
      </w:r>
    </w:p>
    <w:tbl>
      <w:tblPr>
        <w:tblW w:w="2798" w:type="dxa"/>
        <w:jc w:val="left"/>
        <w:tblInd w:w="0" w:type="dxa"/>
        <w:tblLayout w:type="fixed"/>
        <w:tblCellMar>
          <w:top w:w="0" w:type="dxa"/>
          <w:left w:w="0" w:type="dxa"/>
          <w:bottom w:w="0" w:type="dxa"/>
          <w:right w:w="0" w:type="dxa"/>
        </w:tblCellMar>
      </w:tblPr>
      <w:tblGrid>
        <w:gridCol w:w="38"/>
        <w:gridCol w:w="500"/>
        <w:gridCol w:w="198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5.06.</w:t>
            </w:r>
          </w:p>
        </w:tc>
        <w:tc>
          <w:tcPr>
            <w:tcW w:w="1985" w:type="dxa"/>
            <w:tcBorders/>
            <w:vAlign w:val="center"/>
          </w:tcPr>
          <w:p>
            <w:pPr>
              <w:pStyle w:val="TableContents"/>
              <w:bidi w:val="0"/>
              <w:spacing w:before="0" w:after="283"/>
              <w:jc w:val="left"/>
              <w:rPr/>
            </w:pPr>
            <w:r>
              <w:rPr>
                <w:b/>
                <w:i/>
              </w:rPr>
              <w:t>Further Assurances</w:t>
            </w:r>
            <w:r>
              <w:rPr/>
              <w:tab/>
            </w:r>
          </w:p>
        </w:tc>
        <w:tc>
          <w:tcPr>
            <w:tcW w:w="275" w:type="dxa"/>
            <w:tcBorders/>
            <w:vAlign w:val="center"/>
          </w:tcPr>
          <w:p>
            <w:pPr>
              <w:pStyle w:val="TableContents"/>
              <w:bidi w:val="0"/>
              <w:spacing w:before="0" w:after="283"/>
              <w:jc w:val="right"/>
              <w:rPr/>
            </w:pPr>
            <w:r>
              <w:rPr/>
              <w:t>37</w:t>
            </w:r>
          </w:p>
        </w:tc>
      </w:tr>
    </w:tbl>
    <w:p>
      <w:pPr>
        <w:pStyle w:val="TextBody"/>
        <w:bidi w:val="0"/>
        <w:spacing w:before="0" w:after="0"/>
        <w:ind w:left="0" w:right="0" w:hanging="0"/>
        <w:jc w:val="left"/>
        <w:rPr>
          <w:caps w:val="false"/>
          <w:smallCaps w:val="false"/>
        </w:rPr>
      </w:pPr>
      <w:r>
        <w:rPr>
          <w:caps w:val="false"/>
          <w:smallCaps w:val="false"/>
        </w:rPr>
        <w:t> </w:t>
      </w:r>
    </w:p>
    <w:tbl>
      <w:tblPr>
        <w:tblW w:w="5063" w:type="dxa"/>
        <w:jc w:val="left"/>
        <w:tblInd w:w="0" w:type="dxa"/>
        <w:tblLayout w:type="fixed"/>
        <w:tblCellMar>
          <w:top w:w="0" w:type="dxa"/>
          <w:left w:w="0" w:type="dxa"/>
          <w:bottom w:w="0" w:type="dxa"/>
          <w:right w:w="0" w:type="dxa"/>
        </w:tblCellMar>
      </w:tblPr>
      <w:tblGrid>
        <w:gridCol w:w="38"/>
        <w:gridCol w:w="500"/>
        <w:gridCol w:w="425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5.07.</w:t>
            </w:r>
          </w:p>
        </w:tc>
        <w:tc>
          <w:tcPr>
            <w:tcW w:w="4250" w:type="dxa"/>
            <w:tcBorders/>
            <w:vAlign w:val="center"/>
          </w:tcPr>
          <w:p>
            <w:pPr>
              <w:pStyle w:val="TableContents"/>
              <w:bidi w:val="0"/>
              <w:spacing w:before="0" w:after="283"/>
              <w:jc w:val="left"/>
              <w:rPr/>
            </w:pPr>
            <w:r>
              <w:rPr>
                <w:b/>
                <w:i/>
              </w:rPr>
              <w:t>Purchaser’s Substitute Support Obligations</w:t>
            </w:r>
            <w:r>
              <w:rPr/>
              <w:tab/>
            </w:r>
          </w:p>
        </w:tc>
        <w:tc>
          <w:tcPr>
            <w:tcW w:w="275" w:type="dxa"/>
            <w:tcBorders/>
            <w:vAlign w:val="center"/>
          </w:tcPr>
          <w:p>
            <w:pPr>
              <w:pStyle w:val="TableContents"/>
              <w:bidi w:val="0"/>
              <w:spacing w:before="0" w:after="283"/>
              <w:jc w:val="right"/>
              <w:rPr/>
            </w:pPr>
            <w:r>
              <w:rPr/>
              <w:t>38</w:t>
            </w:r>
          </w:p>
        </w:tc>
      </w:tr>
    </w:tbl>
    <w:p>
      <w:pPr>
        <w:pStyle w:val="TextBody"/>
        <w:bidi w:val="0"/>
        <w:spacing w:before="0" w:after="0"/>
        <w:ind w:left="0" w:right="0" w:hanging="0"/>
        <w:jc w:val="left"/>
        <w:rPr>
          <w:caps w:val="false"/>
          <w:smallCaps w:val="false"/>
        </w:rPr>
      </w:pPr>
      <w:r>
        <w:rPr>
          <w:caps w:val="false"/>
          <w:smallCaps w:val="false"/>
        </w:rPr>
        <w:t> </w:t>
      </w:r>
    </w:p>
    <w:tbl>
      <w:tblPr>
        <w:tblW w:w="2018" w:type="dxa"/>
        <w:jc w:val="left"/>
        <w:tblInd w:w="0" w:type="dxa"/>
        <w:tblLayout w:type="fixed"/>
        <w:tblCellMar>
          <w:top w:w="0" w:type="dxa"/>
          <w:left w:w="0" w:type="dxa"/>
          <w:bottom w:w="0" w:type="dxa"/>
          <w:right w:w="0" w:type="dxa"/>
        </w:tblCellMar>
      </w:tblPr>
      <w:tblGrid>
        <w:gridCol w:w="38"/>
        <w:gridCol w:w="500"/>
        <w:gridCol w:w="120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5.08.</w:t>
            </w:r>
          </w:p>
        </w:tc>
        <w:tc>
          <w:tcPr>
            <w:tcW w:w="1205" w:type="dxa"/>
            <w:tcBorders/>
            <w:vAlign w:val="center"/>
          </w:tcPr>
          <w:p>
            <w:pPr>
              <w:pStyle w:val="TableContents"/>
              <w:bidi w:val="0"/>
              <w:spacing w:before="0" w:after="283"/>
              <w:jc w:val="left"/>
              <w:rPr/>
            </w:pPr>
            <w:r>
              <w:rPr>
                <w:b/>
                <w:i/>
              </w:rPr>
              <w:t>Tax Matters</w:t>
            </w:r>
            <w:r>
              <w:rPr/>
              <w:tab/>
            </w:r>
          </w:p>
        </w:tc>
        <w:tc>
          <w:tcPr>
            <w:tcW w:w="275" w:type="dxa"/>
            <w:tcBorders/>
            <w:vAlign w:val="center"/>
          </w:tcPr>
          <w:p>
            <w:pPr>
              <w:pStyle w:val="TableContents"/>
              <w:bidi w:val="0"/>
              <w:spacing w:before="0" w:after="283"/>
              <w:jc w:val="right"/>
              <w:rPr/>
            </w:pPr>
            <w:r>
              <w:rPr/>
              <w:t>39</w:t>
            </w:r>
          </w:p>
        </w:tc>
      </w:tr>
    </w:tbl>
    <w:p>
      <w:pPr>
        <w:pStyle w:val="TextBody"/>
        <w:bidi w:val="0"/>
        <w:spacing w:before="0" w:after="0"/>
        <w:ind w:left="0" w:right="0" w:hanging="0"/>
        <w:jc w:val="left"/>
        <w:rPr>
          <w:caps w:val="false"/>
          <w:smallCaps w:val="false"/>
        </w:rPr>
      </w:pPr>
      <w:r>
        <w:rPr>
          <w:caps w:val="false"/>
          <w:smallCaps w:val="false"/>
        </w:rPr>
        <w:t> </w:t>
      </w:r>
    </w:p>
    <w:tbl>
      <w:tblPr>
        <w:tblW w:w="2288" w:type="dxa"/>
        <w:jc w:val="left"/>
        <w:tblInd w:w="0" w:type="dxa"/>
        <w:tblLayout w:type="fixed"/>
        <w:tblCellMar>
          <w:top w:w="0" w:type="dxa"/>
          <w:left w:w="0" w:type="dxa"/>
          <w:bottom w:w="0" w:type="dxa"/>
          <w:right w:w="0" w:type="dxa"/>
        </w:tblCellMar>
      </w:tblPr>
      <w:tblGrid>
        <w:gridCol w:w="38"/>
        <w:gridCol w:w="500"/>
        <w:gridCol w:w="147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5.09.</w:t>
            </w:r>
          </w:p>
        </w:tc>
        <w:tc>
          <w:tcPr>
            <w:tcW w:w="1475" w:type="dxa"/>
            <w:tcBorders/>
            <w:vAlign w:val="center"/>
          </w:tcPr>
          <w:p>
            <w:pPr>
              <w:pStyle w:val="TableContents"/>
              <w:bidi w:val="0"/>
              <w:spacing w:before="0" w:after="283"/>
              <w:jc w:val="left"/>
              <w:rPr/>
            </w:pPr>
            <w:r>
              <w:rPr>
                <w:b/>
                <w:i/>
              </w:rPr>
              <w:t>No Solicitation</w:t>
            </w:r>
            <w:r>
              <w:rPr/>
              <w:tab/>
            </w:r>
          </w:p>
        </w:tc>
        <w:tc>
          <w:tcPr>
            <w:tcW w:w="275" w:type="dxa"/>
            <w:tcBorders/>
            <w:vAlign w:val="center"/>
          </w:tcPr>
          <w:p>
            <w:pPr>
              <w:pStyle w:val="TableContents"/>
              <w:bidi w:val="0"/>
              <w:spacing w:before="0" w:after="283"/>
              <w:jc w:val="right"/>
              <w:rPr/>
            </w:pPr>
            <w:r>
              <w:rPr/>
              <w:t>40</w:t>
            </w:r>
          </w:p>
        </w:tc>
      </w:tr>
    </w:tbl>
    <w:p>
      <w:pPr>
        <w:pStyle w:val="TextBody"/>
        <w:bidi w:val="0"/>
        <w:spacing w:before="0" w:after="0"/>
        <w:ind w:left="0" w:right="0" w:hanging="0"/>
        <w:jc w:val="left"/>
        <w:rPr>
          <w:caps w:val="false"/>
          <w:smallCaps w:val="false"/>
        </w:rPr>
      </w:pPr>
      <w:r>
        <w:rPr>
          <w:caps w:val="false"/>
          <w:smallCaps w:val="false"/>
        </w:rPr>
        <w:t> </w:t>
      </w:r>
    </w:p>
    <w:tbl>
      <w:tblPr>
        <w:tblW w:w="3578" w:type="dxa"/>
        <w:jc w:val="left"/>
        <w:tblInd w:w="0" w:type="dxa"/>
        <w:tblLayout w:type="fixed"/>
        <w:tblCellMar>
          <w:top w:w="0" w:type="dxa"/>
          <w:left w:w="0" w:type="dxa"/>
          <w:bottom w:w="0" w:type="dxa"/>
          <w:right w:w="0" w:type="dxa"/>
        </w:tblCellMar>
      </w:tblPr>
      <w:tblGrid>
        <w:gridCol w:w="38"/>
        <w:gridCol w:w="500"/>
        <w:gridCol w:w="276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5.10.</w:t>
            </w:r>
          </w:p>
        </w:tc>
        <w:tc>
          <w:tcPr>
            <w:tcW w:w="2765" w:type="dxa"/>
            <w:tcBorders/>
            <w:vAlign w:val="center"/>
          </w:tcPr>
          <w:p>
            <w:pPr>
              <w:pStyle w:val="TableContents"/>
              <w:bidi w:val="0"/>
              <w:spacing w:before="0" w:after="283"/>
              <w:jc w:val="left"/>
              <w:rPr/>
            </w:pPr>
            <w:r>
              <w:rPr>
                <w:b/>
                <w:i/>
              </w:rPr>
              <w:t>Purchaser Parent Guaranty</w:t>
            </w:r>
            <w:r>
              <w:rPr/>
              <w:tab/>
            </w:r>
          </w:p>
        </w:tc>
        <w:tc>
          <w:tcPr>
            <w:tcW w:w="275" w:type="dxa"/>
            <w:tcBorders/>
            <w:vAlign w:val="center"/>
          </w:tcPr>
          <w:p>
            <w:pPr>
              <w:pStyle w:val="TableContents"/>
              <w:bidi w:val="0"/>
              <w:spacing w:before="0" w:after="283"/>
              <w:jc w:val="right"/>
              <w:rPr/>
            </w:pPr>
            <w:r>
              <w:rPr/>
              <w:t>40</w:t>
            </w:r>
          </w:p>
        </w:tc>
      </w:tr>
    </w:tbl>
    <w:p>
      <w:pPr>
        <w:pStyle w:val="TextBody"/>
        <w:bidi w:val="0"/>
        <w:spacing w:before="0" w:after="0"/>
        <w:ind w:left="0" w:right="0" w:hanging="0"/>
        <w:jc w:val="left"/>
        <w:rPr>
          <w:caps w:val="false"/>
          <w:smallCaps w:val="false"/>
        </w:rPr>
      </w:pPr>
      <w:r>
        <w:rPr>
          <w:caps w:val="false"/>
          <w:smallCaps w:val="false"/>
        </w:rPr>
        <w:t> </w:t>
      </w:r>
    </w:p>
    <w:tbl>
      <w:tblPr>
        <w:tblW w:w="3113" w:type="dxa"/>
        <w:jc w:val="left"/>
        <w:tblInd w:w="0" w:type="dxa"/>
        <w:tblLayout w:type="fixed"/>
        <w:tblCellMar>
          <w:top w:w="0" w:type="dxa"/>
          <w:left w:w="0" w:type="dxa"/>
          <w:bottom w:w="0" w:type="dxa"/>
          <w:right w:w="0" w:type="dxa"/>
        </w:tblCellMar>
      </w:tblPr>
      <w:tblGrid>
        <w:gridCol w:w="38"/>
        <w:gridCol w:w="500"/>
        <w:gridCol w:w="230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5.11.</w:t>
            </w:r>
          </w:p>
        </w:tc>
        <w:tc>
          <w:tcPr>
            <w:tcW w:w="2300" w:type="dxa"/>
            <w:tcBorders/>
            <w:vAlign w:val="center"/>
          </w:tcPr>
          <w:p>
            <w:pPr>
              <w:pStyle w:val="TableContents"/>
              <w:bidi w:val="0"/>
              <w:spacing w:before="0" w:after="283"/>
              <w:jc w:val="left"/>
              <w:rPr/>
            </w:pPr>
            <w:r>
              <w:rPr>
                <w:b/>
                <w:i/>
              </w:rPr>
              <w:t>Seller Parent Guaranty</w:t>
            </w:r>
            <w:r>
              <w:rPr/>
              <w:tab/>
            </w:r>
          </w:p>
        </w:tc>
        <w:tc>
          <w:tcPr>
            <w:tcW w:w="275" w:type="dxa"/>
            <w:tcBorders/>
            <w:vAlign w:val="center"/>
          </w:tcPr>
          <w:p>
            <w:pPr>
              <w:pStyle w:val="TableContents"/>
              <w:bidi w:val="0"/>
              <w:spacing w:before="0" w:after="283"/>
              <w:jc w:val="right"/>
              <w:rPr/>
            </w:pPr>
            <w:r>
              <w:rPr/>
              <w:t>40</w:t>
            </w:r>
          </w:p>
        </w:tc>
      </w:tr>
    </w:tbl>
    <w:p>
      <w:pPr>
        <w:pStyle w:val="TextBody"/>
        <w:bidi w:val="0"/>
        <w:spacing w:before="0" w:after="0"/>
        <w:ind w:left="0" w:right="0" w:hanging="0"/>
        <w:jc w:val="left"/>
        <w:rPr>
          <w:caps w:val="false"/>
          <w:smallCaps w:val="false"/>
        </w:rPr>
      </w:pPr>
      <w:r>
        <w:rPr>
          <w:caps w:val="false"/>
          <w:smallCaps w:val="false"/>
        </w:rPr>
        <w:t> </w:t>
      </w:r>
    </w:p>
    <w:tbl>
      <w:tblPr>
        <w:tblW w:w="5663" w:type="dxa"/>
        <w:jc w:val="left"/>
        <w:tblInd w:w="0" w:type="dxa"/>
        <w:tblLayout w:type="fixed"/>
        <w:tblCellMar>
          <w:top w:w="0" w:type="dxa"/>
          <w:left w:w="0" w:type="dxa"/>
          <w:bottom w:w="0" w:type="dxa"/>
          <w:right w:w="0" w:type="dxa"/>
        </w:tblCellMar>
      </w:tblPr>
      <w:tblGrid>
        <w:gridCol w:w="38"/>
        <w:gridCol w:w="500"/>
        <w:gridCol w:w="485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5.12.</w:t>
            </w:r>
          </w:p>
        </w:tc>
        <w:tc>
          <w:tcPr>
            <w:tcW w:w="4850" w:type="dxa"/>
            <w:tcBorders/>
            <w:vAlign w:val="center"/>
          </w:tcPr>
          <w:p>
            <w:pPr>
              <w:pStyle w:val="TableContents"/>
              <w:bidi w:val="0"/>
              <w:spacing w:before="0" w:after="283"/>
              <w:jc w:val="left"/>
              <w:rPr/>
            </w:pPr>
            <w:r>
              <w:rPr>
                <w:b/>
                <w:i/>
              </w:rPr>
              <w:t>Tax Equity Agreements; Tax Credit Monetization</w:t>
            </w:r>
            <w:r>
              <w:rPr/>
              <w:tab/>
            </w:r>
          </w:p>
        </w:tc>
        <w:tc>
          <w:tcPr>
            <w:tcW w:w="275" w:type="dxa"/>
            <w:tcBorders/>
            <w:vAlign w:val="center"/>
          </w:tcPr>
          <w:p>
            <w:pPr>
              <w:pStyle w:val="TableContents"/>
              <w:bidi w:val="0"/>
              <w:spacing w:before="0" w:after="283"/>
              <w:jc w:val="right"/>
              <w:rPr/>
            </w:pPr>
            <w:r>
              <w:rPr/>
              <w:t>40</w:t>
            </w:r>
          </w:p>
        </w:tc>
      </w:tr>
    </w:tbl>
    <w:p>
      <w:pPr>
        <w:pStyle w:val="TextBody"/>
        <w:bidi w:val="0"/>
        <w:spacing w:before="0" w:after="0"/>
        <w:ind w:left="0" w:right="0" w:hanging="0"/>
        <w:jc w:val="left"/>
        <w:rPr>
          <w:caps w:val="false"/>
          <w:smallCaps w:val="false"/>
        </w:rPr>
      </w:pPr>
      <w:r>
        <w:rPr>
          <w:caps w:val="false"/>
          <w:smallCaps w:val="false"/>
        </w:rPr>
        <w:t> </w:t>
      </w:r>
    </w:p>
    <w:tbl>
      <w:tblPr>
        <w:tblW w:w="3323" w:type="dxa"/>
        <w:jc w:val="left"/>
        <w:tblInd w:w="0" w:type="dxa"/>
        <w:tblLayout w:type="fixed"/>
        <w:tblCellMar>
          <w:top w:w="0" w:type="dxa"/>
          <w:left w:w="0" w:type="dxa"/>
          <w:bottom w:w="0" w:type="dxa"/>
          <w:right w:w="0" w:type="dxa"/>
        </w:tblCellMar>
      </w:tblPr>
      <w:tblGrid>
        <w:gridCol w:w="38"/>
        <w:gridCol w:w="500"/>
        <w:gridCol w:w="251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5.13.</w:t>
            </w:r>
          </w:p>
        </w:tc>
        <w:tc>
          <w:tcPr>
            <w:tcW w:w="2510" w:type="dxa"/>
            <w:tcBorders/>
            <w:vAlign w:val="center"/>
          </w:tcPr>
          <w:p>
            <w:pPr>
              <w:pStyle w:val="TableContents"/>
              <w:bidi w:val="0"/>
              <w:spacing w:before="0" w:after="283"/>
              <w:jc w:val="left"/>
              <w:rPr/>
            </w:pPr>
            <w:r>
              <w:rPr>
                <w:b/>
                <w:i/>
              </w:rPr>
              <w:t>Duties of Initial Manager</w:t>
            </w:r>
            <w:r>
              <w:rPr/>
              <w:tab/>
            </w:r>
          </w:p>
        </w:tc>
        <w:tc>
          <w:tcPr>
            <w:tcW w:w="275" w:type="dxa"/>
            <w:tcBorders/>
            <w:vAlign w:val="center"/>
          </w:tcPr>
          <w:p>
            <w:pPr>
              <w:pStyle w:val="TableContents"/>
              <w:bidi w:val="0"/>
              <w:spacing w:before="0" w:after="283"/>
              <w:jc w:val="right"/>
              <w:rPr/>
            </w:pPr>
            <w:r>
              <w:rPr/>
              <w:t>41</w:t>
            </w:r>
          </w:p>
        </w:tc>
      </w:tr>
    </w:tbl>
    <w:p>
      <w:pPr>
        <w:pStyle w:val="TextBody"/>
        <w:bidi w:val="0"/>
        <w:spacing w:before="0" w:after="0"/>
        <w:ind w:left="0" w:right="0" w:hanging="0"/>
        <w:jc w:val="left"/>
        <w:rPr>
          <w:caps w:val="false"/>
          <w:smallCaps w:val="false"/>
        </w:rPr>
      </w:pPr>
      <w:r>
        <w:rPr>
          <w:caps w:val="false"/>
          <w:smallCaps w:val="false"/>
        </w:rPr>
        <w:t> </w:t>
      </w:r>
    </w:p>
    <w:tbl>
      <w:tblPr>
        <w:tblW w:w="3128" w:type="dxa"/>
        <w:jc w:val="left"/>
        <w:tblInd w:w="0" w:type="dxa"/>
        <w:tblLayout w:type="fixed"/>
        <w:tblCellMar>
          <w:top w:w="0" w:type="dxa"/>
          <w:left w:w="0" w:type="dxa"/>
          <w:bottom w:w="0" w:type="dxa"/>
          <w:right w:w="0" w:type="dxa"/>
        </w:tblCellMar>
      </w:tblPr>
      <w:tblGrid>
        <w:gridCol w:w="38"/>
        <w:gridCol w:w="500"/>
        <w:gridCol w:w="231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5.14.</w:t>
            </w:r>
          </w:p>
        </w:tc>
        <w:tc>
          <w:tcPr>
            <w:tcW w:w="2315" w:type="dxa"/>
            <w:tcBorders/>
            <w:vAlign w:val="center"/>
          </w:tcPr>
          <w:p>
            <w:pPr>
              <w:pStyle w:val="TableContents"/>
              <w:bidi w:val="0"/>
              <w:spacing w:before="0" w:after="283"/>
              <w:jc w:val="left"/>
              <w:rPr/>
            </w:pPr>
            <w:r>
              <w:rPr>
                <w:b/>
                <w:i/>
              </w:rPr>
              <w:t>Battery Energy Storage</w:t>
            </w:r>
            <w:r>
              <w:rPr/>
              <w:tab/>
            </w:r>
          </w:p>
        </w:tc>
        <w:tc>
          <w:tcPr>
            <w:tcW w:w="275" w:type="dxa"/>
            <w:tcBorders/>
            <w:vAlign w:val="center"/>
          </w:tcPr>
          <w:p>
            <w:pPr>
              <w:pStyle w:val="TableContents"/>
              <w:bidi w:val="0"/>
              <w:spacing w:before="0" w:after="283"/>
              <w:jc w:val="right"/>
              <w:rPr/>
            </w:pPr>
            <w:r>
              <w:rPr/>
              <w:t>41</w:t>
            </w:r>
          </w:p>
        </w:tc>
      </w:tr>
    </w:tbl>
    <w:p>
      <w:pPr>
        <w:pStyle w:val="TextBody"/>
        <w:bidi w:val="0"/>
        <w:spacing w:before="0" w:after="0"/>
        <w:ind w:left="0" w:right="0" w:hanging="0"/>
        <w:jc w:val="left"/>
        <w:rPr>
          <w:caps w:val="false"/>
          <w:smallCaps w:val="false"/>
        </w:rPr>
      </w:pPr>
      <w:r>
        <w:rPr>
          <w:caps w:val="false"/>
          <w:smallCaps w:val="false"/>
        </w:rPr>
        <w:t> </w:t>
      </w:r>
    </w:p>
    <w:tbl>
      <w:tblPr>
        <w:tblW w:w="2993" w:type="dxa"/>
        <w:jc w:val="left"/>
        <w:tblInd w:w="0" w:type="dxa"/>
        <w:tblLayout w:type="fixed"/>
        <w:tblCellMar>
          <w:top w:w="0" w:type="dxa"/>
          <w:left w:w="0" w:type="dxa"/>
          <w:bottom w:w="0" w:type="dxa"/>
          <w:right w:w="0" w:type="dxa"/>
        </w:tblCellMar>
      </w:tblPr>
      <w:tblGrid>
        <w:gridCol w:w="38"/>
        <w:gridCol w:w="500"/>
        <w:gridCol w:w="218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5.15.</w:t>
            </w:r>
          </w:p>
        </w:tc>
        <w:tc>
          <w:tcPr>
            <w:tcW w:w="2180" w:type="dxa"/>
            <w:tcBorders/>
            <w:vAlign w:val="center"/>
          </w:tcPr>
          <w:p>
            <w:pPr>
              <w:pStyle w:val="TableContents"/>
              <w:bidi w:val="0"/>
              <w:spacing w:before="0" w:after="283"/>
              <w:jc w:val="left"/>
              <w:rPr/>
            </w:pPr>
            <w:r>
              <w:rPr>
                <w:b/>
                <w:i/>
              </w:rPr>
              <w:t>Financing Agreement</w:t>
            </w:r>
            <w:r>
              <w:rPr/>
              <w:tab/>
            </w:r>
          </w:p>
        </w:tc>
        <w:tc>
          <w:tcPr>
            <w:tcW w:w="275" w:type="dxa"/>
            <w:tcBorders/>
            <w:vAlign w:val="center"/>
          </w:tcPr>
          <w:p>
            <w:pPr>
              <w:pStyle w:val="TableContents"/>
              <w:bidi w:val="0"/>
              <w:spacing w:before="0" w:after="283"/>
              <w:jc w:val="right"/>
              <w:rPr/>
            </w:pPr>
            <w:r>
              <w:rPr/>
              <w:t>41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rFonts w:ascii="Times New Roman;Times;Serif" w:hAnsi="Times New Roman;Times;Serif"/>
          <w:sz w:val="20"/>
          <w:bdr w:val="single" w:sz="8" w:space="1" w:color="000000"/>
        </w:rPr>
        <w:t>i</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righ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750"/>
        <w:gridCol w:w="245"/>
      </w:tblGrid>
      <w:tr>
        <w:trPr/>
        <w:tc>
          <w:tcPr>
            <w:tcW w:w="2750" w:type="dxa"/>
            <w:tcBorders/>
            <w:vAlign w:val="center"/>
          </w:tcPr>
          <w:p>
            <w:pPr>
              <w:pStyle w:val="TableContents"/>
              <w:bidi w:val="0"/>
              <w:spacing w:before="0" w:after="283"/>
              <w:ind w:left="0" w:right="0" w:hanging="1440"/>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6 Indemnification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41</w:t>
            </w:r>
          </w:p>
        </w:tc>
      </w:tr>
    </w:tbl>
    <w:p>
      <w:pPr>
        <w:pStyle w:val="TextBody"/>
        <w:bidi w:val="0"/>
        <w:spacing w:before="0" w:after="0"/>
        <w:ind w:left="0" w:right="0" w:hanging="0"/>
        <w:jc w:val="left"/>
        <w:rPr>
          <w:caps w:val="false"/>
          <w:smallCaps w:val="false"/>
        </w:rPr>
      </w:pPr>
      <w:r>
        <w:rPr>
          <w:caps w:val="false"/>
          <w:smallCaps w:val="false"/>
        </w:rPr>
        <w:t> </w:t>
      </w:r>
    </w:p>
    <w:tbl>
      <w:tblPr>
        <w:tblW w:w="3293" w:type="dxa"/>
        <w:jc w:val="left"/>
        <w:tblInd w:w="0" w:type="dxa"/>
        <w:tblLayout w:type="fixed"/>
        <w:tblCellMar>
          <w:top w:w="0" w:type="dxa"/>
          <w:left w:w="0" w:type="dxa"/>
          <w:bottom w:w="0" w:type="dxa"/>
          <w:right w:w="0" w:type="dxa"/>
        </w:tblCellMar>
      </w:tblPr>
      <w:tblGrid>
        <w:gridCol w:w="38"/>
        <w:gridCol w:w="500"/>
        <w:gridCol w:w="248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6.01.</w:t>
            </w:r>
          </w:p>
        </w:tc>
        <w:tc>
          <w:tcPr>
            <w:tcW w:w="2480" w:type="dxa"/>
            <w:tcBorders/>
            <w:vAlign w:val="center"/>
          </w:tcPr>
          <w:p>
            <w:pPr>
              <w:pStyle w:val="TableContents"/>
              <w:bidi w:val="0"/>
              <w:spacing w:before="0" w:after="283"/>
              <w:jc w:val="left"/>
              <w:rPr/>
            </w:pPr>
            <w:r>
              <w:rPr>
                <w:b/>
                <w:i/>
              </w:rPr>
              <w:t>Indemnification by Seller</w:t>
            </w:r>
            <w:r>
              <w:rPr/>
              <w:tab/>
            </w:r>
          </w:p>
        </w:tc>
        <w:tc>
          <w:tcPr>
            <w:tcW w:w="275" w:type="dxa"/>
            <w:tcBorders/>
            <w:vAlign w:val="center"/>
          </w:tcPr>
          <w:p>
            <w:pPr>
              <w:pStyle w:val="TableContents"/>
              <w:bidi w:val="0"/>
              <w:spacing w:before="0" w:after="283"/>
              <w:jc w:val="right"/>
              <w:rPr/>
            </w:pPr>
            <w:r>
              <w:rPr/>
              <w:t>41</w:t>
            </w:r>
          </w:p>
        </w:tc>
      </w:tr>
    </w:tbl>
    <w:p>
      <w:pPr>
        <w:pStyle w:val="TextBody"/>
        <w:bidi w:val="0"/>
        <w:spacing w:before="0" w:after="0"/>
        <w:ind w:left="0" w:right="0" w:hanging="0"/>
        <w:jc w:val="left"/>
        <w:rPr>
          <w:caps w:val="false"/>
          <w:smallCaps w:val="false"/>
        </w:rPr>
      </w:pPr>
      <w:r>
        <w:rPr>
          <w:caps w:val="false"/>
          <w:smallCaps w:val="false"/>
        </w:rPr>
        <w:t> </w:t>
      </w:r>
    </w:p>
    <w:tbl>
      <w:tblPr>
        <w:tblW w:w="3758" w:type="dxa"/>
        <w:jc w:val="left"/>
        <w:tblInd w:w="0" w:type="dxa"/>
        <w:tblLayout w:type="fixed"/>
        <w:tblCellMar>
          <w:top w:w="0" w:type="dxa"/>
          <w:left w:w="0" w:type="dxa"/>
          <w:bottom w:w="0" w:type="dxa"/>
          <w:right w:w="0" w:type="dxa"/>
        </w:tblCellMar>
      </w:tblPr>
      <w:tblGrid>
        <w:gridCol w:w="38"/>
        <w:gridCol w:w="500"/>
        <w:gridCol w:w="294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6.02.</w:t>
            </w:r>
          </w:p>
        </w:tc>
        <w:tc>
          <w:tcPr>
            <w:tcW w:w="2945" w:type="dxa"/>
            <w:tcBorders/>
            <w:vAlign w:val="center"/>
          </w:tcPr>
          <w:p>
            <w:pPr>
              <w:pStyle w:val="TableContents"/>
              <w:bidi w:val="0"/>
              <w:spacing w:before="0" w:after="283"/>
              <w:jc w:val="left"/>
              <w:rPr/>
            </w:pPr>
            <w:r>
              <w:rPr>
                <w:b/>
                <w:i/>
              </w:rPr>
              <w:t>Indemnification by Purchaser</w:t>
            </w:r>
            <w:r>
              <w:rPr/>
              <w:tab/>
            </w:r>
          </w:p>
        </w:tc>
        <w:tc>
          <w:tcPr>
            <w:tcW w:w="275" w:type="dxa"/>
            <w:tcBorders/>
            <w:vAlign w:val="center"/>
          </w:tcPr>
          <w:p>
            <w:pPr>
              <w:pStyle w:val="TableContents"/>
              <w:bidi w:val="0"/>
              <w:spacing w:before="0" w:after="283"/>
              <w:jc w:val="right"/>
              <w:rPr/>
            </w:pPr>
            <w:r>
              <w:rPr/>
              <w:t>42</w:t>
            </w:r>
          </w:p>
        </w:tc>
      </w:tr>
    </w:tbl>
    <w:p>
      <w:pPr>
        <w:pStyle w:val="TextBody"/>
        <w:bidi w:val="0"/>
        <w:spacing w:before="0" w:after="0"/>
        <w:ind w:left="0" w:right="0" w:hanging="0"/>
        <w:jc w:val="left"/>
        <w:rPr>
          <w:caps w:val="false"/>
          <w:smallCaps w:val="false"/>
        </w:rPr>
      </w:pPr>
      <w:r>
        <w:rPr>
          <w:caps w:val="false"/>
          <w:smallCaps w:val="false"/>
        </w:rPr>
        <w:t> </w:t>
      </w:r>
    </w:p>
    <w:tbl>
      <w:tblPr>
        <w:tblW w:w="7523" w:type="dxa"/>
        <w:jc w:val="left"/>
        <w:tblInd w:w="0" w:type="dxa"/>
        <w:tblLayout w:type="fixed"/>
        <w:tblCellMar>
          <w:top w:w="0" w:type="dxa"/>
          <w:left w:w="0" w:type="dxa"/>
          <w:bottom w:w="0" w:type="dxa"/>
          <w:right w:w="0" w:type="dxa"/>
        </w:tblCellMar>
      </w:tblPr>
      <w:tblGrid>
        <w:gridCol w:w="38"/>
        <w:gridCol w:w="500"/>
        <w:gridCol w:w="671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6.03.</w:t>
            </w:r>
          </w:p>
        </w:tc>
        <w:tc>
          <w:tcPr>
            <w:tcW w:w="6710" w:type="dxa"/>
            <w:tcBorders/>
            <w:vAlign w:val="center"/>
          </w:tcPr>
          <w:p>
            <w:pPr>
              <w:pStyle w:val="TableContents"/>
              <w:bidi w:val="0"/>
              <w:spacing w:before="0" w:after="283"/>
              <w:jc w:val="left"/>
              <w:rPr/>
            </w:pPr>
            <w:r>
              <w:rPr>
                <w:b/>
                <w:i/>
              </w:rPr>
              <w:t>Survival of Representations, Warranties, Covenants and Agreements</w:t>
            </w:r>
            <w:r>
              <w:rPr/>
              <w:tab/>
            </w:r>
          </w:p>
        </w:tc>
        <w:tc>
          <w:tcPr>
            <w:tcW w:w="275" w:type="dxa"/>
            <w:tcBorders/>
            <w:vAlign w:val="center"/>
          </w:tcPr>
          <w:p>
            <w:pPr>
              <w:pStyle w:val="TableContents"/>
              <w:bidi w:val="0"/>
              <w:spacing w:before="0" w:after="283"/>
              <w:jc w:val="right"/>
              <w:rPr/>
            </w:pPr>
            <w:r>
              <w:rPr/>
              <w:t>42</w:t>
            </w:r>
          </w:p>
        </w:tc>
      </w:tr>
    </w:tbl>
    <w:p>
      <w:pPr>
        <w:pStyle w:val="TextBody"/>
        <w:bidi w:val="0"/>
        <w:spacing w:before="0" w:after="0"/>
        <w:ind w:left="0" w:right="0" w:hanging="0"/>
        <w:jc w:val="left"/>
        <w:rPr>
          <w:caps w:val="false"/>
          <w:smallCaps w:val="false"/>
        </w:rPr>
      </w:pPr>
      <w:r>
        <w:rPr>
          <w:caps w:val="false"/>
          <w:smallCaps w:val="false"/>
        </w:rPr>
        <w:t> </w:t>
      </w:r>
    </w:p>
    <w:tbl>
      <w:tblPr>
        <w:tblW w:w="2978" w:type="dxa"/>
        <w:jc w:val="left"/>
        <w:tblInd w:w="0" w:type="dxa"/>
        <w:tblLayout w:type="fixed"/>
        <w:tblCellMar>
          <w:top w:w="0" w:type="dxa"/>
          <w:left w:w="0" w:type="dxa"/>
          <w:bottom w:w="0" w:type="dxa"/>
          <w:right w:w="0" w:type="dxa"/>
        </w:tblCellMar>
      </w:tblPr>
      <w:tblGrid>
        <w:gridCol w:w="38"/>
        <w:gridCol w:w="500"/>
        <w:gridCol w:w="216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6.04.</w:t>
            </w:r>
          </w:p>
        </w:tc>
        <w:tc>
          <w:tcPr>
            <w:tcW w:w="2165" w:type="dxa"/>
            <w:tcBorders/>
            <w:vAlign w:val="center"/>
          </w:tcPr>
          <w:p>
            <w:pPr>
              <w:pStyle w:val="TableContents"/>
              <w:bidi w:val="0"/>
              <w:spacing w:before="0" w:after="283"/>
              <w:jc w:val="left"/>
              <w:rPr/>
            </w:pPr>
            <w:r>
              <w:rPr>
                <w:b/>
                <w:i/>
              </w:rPr>
              <w:t>Limitations on Claims</w:t>
            </w:r>
            <w:r>
              <w:rPr/>
              <w:tab/>
            </w:r>
          </w:p>
        </w:tc>
        <w:tc>
          <w:tcPr>
            <w:tcW w:w="275" w:type="dxa"/>
            <w:tcBorders/>
            <w:vAlign w:val="center"/>
          </w:tcPr>
          <w:p>
            <w:pPr>
              <w:pStyle w:val="TableContents"/>
              <w:bidi w:val="0"/>
              <w:spacing w:before="0" w:after="283"/>
              <w:jc w:val="right"/>
              <w:rPr/>
            </w:pPr>
            <w:r>
              <w:rPr/>
              <w:t>42</w:t>
            </w:r>
          </w:p>
        </w:tc>
      </w:tr>
    </w:tbl>
    <w:p>
      <w:pPr>
        <w:pStyle w:val="TextBody"/>
        <w:bidi w:val="0"/>
        <w:spacing w:before="0" w:after="0"/>
        <w:ind w:left="0" w:right="0" w:hanging="0"/>
        <w:jc w:val="left"/>
        <w:rPr>
          <w:caps w:val="false"/>
          <w:smallCaps w:val="false"/>
        </w:rPr>
      </w:pPr>
      <w:r>
        <w:rPr>
          <w:caps w:val="false"/>
          <w:smallCaps w:val="false"/>
        </w:rPr>
        <w:t> </w:t>
      </w:r>
    </w:p>
    <w:tbl>
      <w:tblPr>
        <w:tblW w:w="6008" w:type="dxa"/>
        <w:jc w:val="left"/>
        <w:tblInd w:w="0" w:type="dxa"/>
        <w:tblLayout w:type="fixed"/>
        <w:tblCellMar>
          <w:top w:w="0" w:type="dxa"/>
          <w:left w:w="0" w:type="dxa"/>
          <w:bottom w:w="0" w:type="dxa"/>
          <w:right w:w="0" w:type="dxa"/>
        </w:tblCellMar>
      </w:tblPr>
      <w:tblGrid>
        <w:gridCol w:w="38"/>
        <w:gridCol w:w="500"/>
        <w:gridCol w:w="519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6.05.</w:t>
            </w:r>
          </w:p>
        </w:tc>
        <w:tc>
          <w:tcPr>
            <w:tcW w:w="5195" w:type="dxa"/>
            <w:tcBorders/>
            <w:vAlign w:val="center"/>
          </w:tcPr>
          <w:p>
            <w:pPr>
              <w:pStyle w:val="TableContents"/>
              <w:bidi w:val="0"/>
              <w:spacing w:before="0" w:after="283"/>
              <w:jc w:val="left"/>
              <w:rPr/>
            </w:pPr>
            <w:r>
              <w:rPr>
                <w:b/>
                <w:i/>
              </w:rPr>
              <w:t>Procedure for Indemnification of Third Party Claims</w:t>
            </w:r>
            <w:r>
              <w:rPr/>
              <w:tab/>
            </w:r>
          </w:p>
        </w:tc>
        <w:tc>
          <w:tcPr>
            <w:tcW w:w="275" w:type="dxa"/>
            <w:tcBorders/>
            <w:vAlign w:val="center"/>
          </w:tcPr>
          <w:p>
            <w:pPr>
              <w:pStyle w:val="TableContents"/>
              <w:bidi w:val="0"/>
              <w:spacing w:before="0" w:after="283"/>
              <w:jc w:val="right"/>
              <w:rPr/>
            </w:pPr>
            <w:r>
              <w:rPr/>
              <w:t>43</w:t>
            </w:r>
          </w:p>
        </w:tc>
      </w:tr>
    </w:tbl>
    <w:p>
      <w:pPr>
        <w:pStyle w:val="TextBody"/>
        <w:bidi w:val="0"/>
        <w:spacing w:before="0" w:after="0"/>
        <w:ind w:left="0" w:right="0" w:hanging="0"/>
        <w:jc w:val="left"/>
        <w:rPr>
          <w:caps w:val="false"/>
          <w:smallCaps w:val="false"/>
        </w:rPr>
      </w:pPr>
      <w:r>
        <w:rPr>
          <w:caps w:val="false"/>
          <w:smallCaps w:val="false"/>
        </w:rPr>
        <w:t> </w:t>
      </w:r>
    </w:p>
    <w:tbl>
      <w:tblPr>
        <w:tblW w:w="7703" w:type="dxa"/>
        <w:jc w:val="left"/>
        <w:tblInd w:w="0" w:type="dxa"/>
        <w:tblLayout w:type="fixed"/>
        <w:tblCellMar>
          <w:top w:w="0" w:type="dxa"/>
          <w:left w:w="0" w:type="dxa"/>
          <w:bottom w:w="0" w:type="dxa"/>
          <w:right w:w="0" w:type="dxa"/>
        </w:tblCellMar>
      </w:tblPr>
      <w:tblGrid>
        <w:gridCol w:w="38"/>
        <w:gridCol w:w="500"/>
        <w:gridCol w:w="689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6.06.</w:t>
            </w:r>
          </w:p>
        </w:tc>
        <w:tc>
          <w:tcPr>
            <w:tcW w:w="6890" w:type="dxa"/>
            <w:tcBorders/>
            <w:vAlign w:val="center"/>
          </w:tcPr>
          <w:p>
            <w:pPr>
              <w:pStyle w:val="TableContents"/>
              <w:bidi w:val="0"/>
              <w:spacing w:before="0" w:after="283"/>
              <w:jc w:val="left"/>
              <w:rPr/>
            </w:pPr>
            <w:r>
              <w:rPr>
                <w:b/>
                <w:i/>
              </w:rPr>
              <w:t>Rights of the Indemnifying Party in the Defense of Third Party Claims</w:t>
            </w:r>
            <w:r>
              <w:rPr/>
              <w:tab/>
            </w:r>
          </w:p>
        </w:tc>
        <w:tc>
          <w:tcPr>
            <w:tcW w:w="275" w:type="dxa"/>
            <w:tcBorders/>
            <w:vAlign w:val="center"/>
          </w:tcPr>
          <w:p>
            <w:pPr>
              <w:pStyle w:val="TableContents"/>
              <w:bidi w:val="0"/>
              <w:spacing w:before="0" w:after="283"/>
              <w:jc w:val="right"/>
              <w:rPr/>
            </w:pPr>
            <w:r>
              <w:rPr/>
              <w:t>44</w:t>
            </w:r>
          </w:p>
        </w:tc>
      </w:tr>
    </w:tbl>
    <w:p>
      <w:pPr>
        <w:pStyle w:val="TextBody"/>
        <w:bidi w:val="0"/>
        <w:spacing w:before="0" w:after="0"/>
        <w:ind w:left="0" w:right="0" w:hanging="0"/>
        <w:jc w:val="left"/>
        <w:rPr>
          <w:caps w:val="false"/>
          <w:smallCaps w:val="false"/>
        </w:rPr>
      </w:pPr>
      <w:r>
        <w:rPr>
          <w:caps w:val="false"/>
          <w:smallCaps w:val="false"/>
        </w:rPr>
        <w:t> </w:t>
      </w:r>
    </w:p>
    <w:tbl>
      <w:tblPr>
        <w:tblW w:w="2168" w:type="dxa"/>
        <w:jc w:val="left"/>
        <w:tblInd w:w="0" w:type="dxa"/>
        <w:tblLayout w:type="fixed"/>
        <w:tblCellMar>
          <w:top w:w="0" w:type="dxa"/>
          <w:left w:w="0" w:type="dxa"/>
          <w:bottom w:w="0" w:type="dxa"/>
          <w:right w:w="0" w:type="dxa"/>
        </w:tblCellMar>
      </w:tblPr>
      <w:tblGrid>
        <w:gridCol w:w="38"/>
        <w:gridCol w:w="500"/>
        <w:gridCol w:w="135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6.07.</w:t>
            </w:r>
          </w:p>
        </w:tc>
        <w:tc>
          <w:tcPr>
            <w:tcW w:w="1355" w:type="dxa"/>
            <w:tcBorders/>
            <w:vAlign w:val="center"/>
          </w:tcPr>
          <w:p>
            <w:pPr>
              <w:pStyle w:val="TableContents"/>
              <w:bidi w:val="0"/>
              <w:spacing w:before="0" w:after="283"/>
              <w:jc w:val="left"/>
              <w:rPr/>
            </w:pPr>
            <w:r>
              <w:rPr>
                <w:b/>
                <w:i/>
              </w:rPr>
              <w:t>Direct Claims</w:t>
            </w:r>
            <w:r>
              <w:rPr/>
              <w:tab/>
            </w:r>
          </w:p>
        </w:tc>
        <w:tc>
          <w:tcPr>
            <w:tcW w:w="275" w:type="dxa"/>
            <w:tcBorders/>
            <w:vAlign w:val="center"/>
          </w:tcPr>
          <w:p>
            <w:pPr>
              <w:pStyle w:val="TableContents"/>
              <w:bidi w:val="0"/>
              <w:spacing w:before="0" w:after="283"/>
              <w:jc w:val="right"/>
              <w:rPr/>
            </w:pPr>
            <w:r>
              <w:rPr/>
              <w:t>44</w:t>
            </w:r>
          </w:p>
        </w:tc>
      </w:tr>
    </w:tbl>
    <w:p>
      <w:pPr>
        <w:pStyle w:val="TextBody"/>
        <w:bidi w:val="0"/>
        <w:spacing w:before="0" w:after="0"/>
        <w:ind w:left="0" w:right="0" w:hanging="0"/>
        <w:jc w:val="left"/>
        <w:rPr>
          <w:caps w:val="false"/>
          <w:smallCaps w:val="false"/>
        </w:rPr>
      </w:pPr>
      <w:r>
        <w:rPr>
          <w:caps w:val="false"/>
          <w:smallCaps w:val="false"/>
        </w:rPr>
        <w:t> </w:t>
      </w:r>
    </w:p>
    <w:tbl>
      <w:tblPr>
        <w:tblW w:w="2618" w:type="dxa"/>
        <w:jc w:val="left"/>
        <w:tblInd w:w="0" w:type="dxa"/>
        <w:tblLayout w:type="fixed"/>
        <w:tblCellMar>
          <w:top w:w="0" w:type="dxa"/>
          <w:left w:w="0" w:type="dxa"/>
          <w:bottom w:w="0" w:type="dxa"/>
          <w:right w:w="0" w:type="dxa"/>
        </w:tblCellMar>
      </w:tblPr>
      <w:tblGrid>
        <w:gridCol w:w="38"/>
        <w:gridCol w:w="500"/>
        <w:gridCol w:w="180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6.08.</w:t>
            </w:r>
          </w:p>
        </w:tc>
        <w:tc>
          <w:tcPr>
            <w:tcW w:w="1805" w:type="dxa"/>
            <w:tcBorders/>
            <w:vAlign w:val="center"/>
          </w:tcPr>
          <w:p>
            <w:pPr>
              <w:pStyle w:val="TableContents"/>
              <w:bidi w:val="0"/>
              <w:spacing w:before="0" w:after="283"/>
              <w:jc w:val="left"/>
              <w:rPr/>
            </w:pPr>
            <w:r>
              <w:rPr>
                <w:b/>
                <w:i/>
              </w:rPr>
              <w:t>Exclusive Remedy</w:t>
            </w:r>
            <w:r>
              <w:rPr/>
              <w:tab/>
            </w:r>
          </w:p>
        </w:tc>
        <w:tc>
          <w:tcPr>
            <w:tcW w:w="275" w:type="dxa"/>
            <w:tcBorders/>
            <w:vAlign w:val="center"/>
          </w:tcPr>
          <w:p>
            <w:pPr>
              <w:pStyle w:val="TableContents"/>
              <w:bidi w:val="0"/>
              <w:spacing w:before="0" w:after="283"/>
              <w:jc w:val="right"/>
              <w:rPr/>
            </w:pPr>
            <w:r>
              <w:rPr/>
              <w:t>45</w:t>
            </w:r>
          </w:p>
        </w:tc>
      </w:tr>
    </w:tbl>
    <w:p>
      <w:pPr>
        <w:pStyle w:val="TextBody"/>
        <w:bidi w:val="0"/>
        <w:spacing w:before="0" w:after="0"/>
        <w:ind w:left="0" w:right="0" w:hanging="0"/>
        <w:jc w:val="left"/>
        <w:rPr>
          <w:caps w:val="false"/>
          <w:smallCaps w:val="false"/>
        </w:rPr>
      </w:pPr>
      <w:r>
        <w:rPr>
          <w:caps w:val="false"/>
          <w:smallCaps w:val="false"/>
        </w:rPr>
        <w:t> </w:t>
      </w:r>
    </w:p>
    <w:tbl>
      <w:tblPr>
        <w:tblW w:w="1928" w:type="dxa"/>
        <w:jc w:val="left"/>
        <w:tblInd w:w="0" w:type="dxa"/>
        <w:tblLayout w:type="fixed"/>
        <w:tblCellMar>
          <w:top w:w="0" w:type="dxa"/>
          <w:left w:w="0" w:type="dxa"/>
          <w:bottom w:w="0" w:type="dxa"/>
          <w:right w:w="0" w:type="dxa"/>
        </w:tblCellMar>
      </w:tblPr>
      <w:tblGrid>
        <w:gridCol w:w="38"/>
        <w:gridCol w:w="500"/>
        <w:gridCol w:w="111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6.09.</w:t>
            </w:r>
          </w:p>
        </w:tc>
        <w:tc>
          <w:tcPr>
            <w:tcW w:w="1115" w:type="dxa"/>
            <w:tcBorders/>
            <w:vAlign w:val="center"/>
          </w:tcPr>
          <w:p>
            <w:pPr>
              <w:pStyle w:val="TableContents"/>
              <w:bidi w:val="0"/>
              <w:spacing w:before="0" w:after="283"/>
              <w:jc w:val="left"/>
              <w:rPr/>
            </w:pPr>
            <w:r>
              <w:rPr>
                <w:b/>
                <w:i/>
              </w:rPr>
              <w:t>Mitigations</w:t>
            </w:r>
            <w:r>
              <w:rPr/>
              <w:tab/>
            </w:r>
          </w:p>
        </w:tc>
        <w:tc>
          <w:tcPr>
            <w:tcW w:w="275" w:type="dxa"/>
            <w:tcBorders/>
            <w:vAlign w:val="center"/>
          </w:tcPr>
          <w:p>
            <w:pPr>
              <w:pStyle w:val="TableContents"/>
              <w:bidi w:val="0"/>
              <w:spacing w:before="0" w:after="283"/>
              <w:jc w:val="right"/>
              <w:rPr/>
            </w:pPr>
            <w:r>
              <w:rPr/>
              <w:t>45</w:t>
            </w:r>
          </w:p>
        </w:tc>
      </w:tr>
    </w:tbl>
    <w:p>
      <w:pPr>
        <w:pStyle w:val="TextBody"/>
        <w:bidi w:val="0"/>
        <w:spacing w:before="0" w:after="0"/>
        <w:ind w:left="0" w:right="0" w:hanging="0"/>
        <w:jc w:val="left"/>
        <w:rPr>
          <w:caps w:val="false"/>
          <w:smallCaps w:val="false"/>
        </w:rPr>
      </w:pPr>
      <w:r>
        <w:rPr>
          <w:caps w:val="false"/>
          <w:smallCaps w:val="false"/>
        </w:rPr>
        <w:t> </w:t>
      </w:r>
    </w:p>
    <w:tbl>
      <w:tblPr>
        <w:tblW w:w="2888" w:type="dxa"/>
        <w:jc w:val="left"/>
        <w:tblInd w:w="0" w:type="dxa"/>
        <w:tblLayout w:type="fixed"/>
        <w:tblCellMar>
          <w:top w:w="0" w:type="dxa"/>
          <w:left w:w="0" w:type="dxa"/>
          <w:bottom w:w="0" w:type="dxa"/>
          <w:right w:w="0" w:type="dxa"/>
        </w:tblCellMar>
      </w:tblPr>
      <w:tblGrid>
        <w:gridCol w:w="38"/>
        <w:gridCol w:w="500"/>
        <w:gridCol w:w="207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6.10.</w:t>
            </w:r>
          </w:p>
        </w:tc>
        <w:tc>
          <w:tcPr>
            <w:tcW w:w="2075" w:type="dxa"/>
            <w:tcBorders/>
            <w:vAlign w:val="center"/>
          </w:tcPr>
          <w:p>
            <w:pPr>
              <w:pStyle w:val="TableContents"/>
              <w:bidi w:val="0"/>
              <w:spacing w:before="0" w:after="283"/>
              <w:jc w:val="left"/>
              <w:rPr/>
            </w:pPr>
            <w:r>
              <w:rPr>
                <w:b/>
                <w:i/>
              </w:rPr>
              <w:t>Indemnity Treatment</w:t>
            </w:r>
            <w:r>
              <w:rPr/>
              <w:tab/>
            </w:r>
          </w:p>
        </w:tc>
        <w:tc>
          <w:tcPr>
            <w:tcW w:w="275" w:type="dxa"/>
            <w:tcBorders/>
            <w:vAlign w:val="center"/>
          </w:tcPr>
          <w:p>
            <w:pPr>
              <w:pStyle w:val="TableContents"/>
              <w:bidi w:val="0"/>
              <w:spacing w:before="0" w:after="283"/>
              <w:jc w:val="right"/>
              <w:rPr/>
            </w:pPr>
            <w:r>
              <w:rPr/>
              <w:t>45</w:t>
            </w:r>
          </w:p>
        </w:tc>
      </w:tr>
    </w:tbl>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2375"/>
        <w:gridCol w:w="245"/>
      </w:tblGrid>
      <w:tr>
        <w:trPr/>
        <w:tc>
          <w:tcPr>
            <w:tcW w:w="2375" w:type="dxa"/>
            <w:tcBorders/>
            <w:vAlign w:val="center"/>
          </w:tcPr>
          <w:p>
            <w:pPr>
              <w:pStyle w:val="TableContents"/>
              <w:bidi w:val="0"/>
              <w:spacing w:before="0" w:after="283"/>
              <w:ind w:left="0" w:right="0" w:hanging="1440"/>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7 Termination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45</w:t>
            </w:r>
          </w:p>
        </w:tc>
      </w:tr>
    </w:tbl>
    <w:p>
      <w:pPr>
        <w:pStyle w:val="TextBody"/>
        <w:bidi w:val="0"/>
        <w:spacing w:before="0" w:after="0"/>
        <w:ind w:left="0" w:right="0" w:hanging="0"/>
        <w:jc w:val="left"/>
        <w:rPr>
          <w:caps w:val="false"/>
          <w:smallCaps w:val="false"/>
        </w:rPr>
      </w:pPr>
      <w:r>
        <w:rPr>
          <w:caps w:val="false"/>
          <w:smallCaps w:val="false"/>
        </w:rPr>
        <w:t> </w:t>
      </w:r>
    </w:p>
    <w:tbl>
      <w:tblPr>
        <w:tblW w:w="2048" w:type="dxa"/>
        <w:jc w:val="left"/>
        <w:tblInd w:w="0" w:type="dxa"/>
        <w:tblLayout w:type="fixed"/>
        <w:tblCellMar>
          <w:top w:w="0" w:type="dxa"/>
          <w:left w:w="0" w:type="dxa"/>
          <w:bottom w:w="0" w:type="dxa"/>
          <w:right w:w="0" w:type="dxa"/>
        </w:tblCellMar>
      </w:tblPr>
      <w:tblGrid>
        <w:gridCol w:w="38"/>
        <w:gridCol w:w="500"/>
        <w:gridCol w:w="123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7.01.</w:t>
            </w:r>
          </w:p>
        </w:tc>
        <w:tc>
          <w:tcPr>
            <w:tcW w:w="1235" w:type="dxa"/>
            <w:tcBorders/>
            <w:vAlign w:val="center"/>
          </w:tcPr>
          <w:p>
            <w:pPr>
              <w:pStyle w:val="TableContents"/>
              <w:bidi w:val="0"/>
              <w:spacing w:before="0" w:after="283"/>
              <w:jc w:val="left"/>
              <w:rPr/>
            </w:pPr>
            <w:r>
              <w:rPr>
                <w:b/>
                <w:i/>
              </w:rPr>
              <w:t>Termination</w:t>
            </w:r>
            <w:r>
              <w:rPr/>
              <w:tab/>
            </w:r>
          </w:p>
        </w:tc>
        <w:tc>
          <w:tcPr>
            <w:tcW w:w="275" w:type="dxa"/>
            <w:tcBorders/>
            <w:vAlign w:val="center"/>
          </w:tcPr>
          <w:p>
            <w:pPr>
              <w:pStyle w:val="TableContents"/>
              <w:bidi w:val="0"/>
              <w:spacing w:before="0" w:after="283"/>
              <w:jc w:val="right"/>
              <w:rPr/>
            </w:pPr>
            <w:r>
              <w:rPr/>
              <w:t>45</w:t>
            </w:r>
          </w:p>
        </w:tc>
      </w:tr>
    </w:tbl>
    <w:p>
      <w:pPr>
        <w:pStyle w:val="TextBody"/>
        <w:bidi w:val="0"/>
        <w:spacing w:before="0" w:after="0"/>
        <w:ind w:left="0" w:right="0" w:hanging="0"/>
        <w:jc w:val="left"/>
        <w:rPr>
          <w:caps w:val="false"/>
          <w:smallCaps w:val="false"/>
        </w:rPr>
      </w:pPr>
      <w:r>
        <w:rPr>
          <w:caps w:val="false"/>
          <w:smallCaps w:val="false"/>
        </w:rPr>
        <w:t> </w:t>
      </w:r>
    </w:p>
    <w:tbl>
      <w:tblPr>
        <w:tblW w:w="2948" w:type="dxa"/>
        <w:jc w:val="left"/>
        <w:tblInd w:w="0" w:type="dxa"/>
        <w:tblLayout w:type="fixed"/>
        <w:tblCellMar>
          <w:top w:w="0" w:type="dxa"/>
          <w:left w:w="0" w:type="dxa"/>
          <w:bottom w:w="0" w:type="dxa"/>
          <w:right w:w="0" w:type="dxa"/>
        </w:tblCellMar>
      </w:tblPr>
      <w:tblGrid>
        <w:gridCol w:w="38"/>
        <w:gridCol w:w="500"/>
        <w:gridCol w:w="213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7.02.</w:t>
            </w:r>
          </w:p>
        </w:tc>
        <w:tc>
          <w:tcPr>
            <w:tcW w:w="2135" w:type="dxa"/>
            <w:tcBorders/>
            <w:vAlign w:val="center"/>
          </w:tcPr>
          <w:p>
            <w:pPr>
              <w:pStyle w:val="TableContents"/>
              <w:bidi w:val="0"/>
              <w:spacing w:before="0" w:after="283"/>
              <w:jc w:val="left"/>
              <w:rPr/>
            </w:pPr>
            <w:r>
              <w:rPr>
                <w:b/>
                <w:i/>
              </w:rPr>
              <w:t>Effect of Termination</w:t>
            </w:r>
            <w:r>
              <w:rPr/>
              <w:tab/>
            </w:r>
          </w:p>
        </w:tc>
        <w:tc>
          <w:tcPr>
            <w:tcW w:w="275" w:type="dxa"/>
            <w:tcBorders/>
            <w:vAlign w:val="center"/>
          </w:tcPr>
          <w:p>
            <w:pPr>
              <w:pStyle w:val="TableContents"/>
              <w:bidi w:val="0"/>
              <w:spacing w:before="0" w:after="283"/>
              <w:jc w:val="right"/>
              <w:rPr/>
            </w:pPr>
            <w:r>
              <w:rPr/>
              <w:t>46</w:t>
            </w:r>
          </w:p>
        </w:tc>
      </w:tr>
    </w:tbl>
    <w:p>
      <w:pPr>
        <w:pStyle w:val="TextBody"/>
        <w:bidi w:val="0"/>
        <w:spacing w:before="0" w:after="0"/>
        <w:ind w:left="0" w:right="0" w:hanging="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3095"/>
        <w:gridCol w:w="245"/>
      </w:tblGrid>
      <w:tr>
        <w:trPr/>
        <w:tc>
          <w:tcPr>
            <w:tcW w:w="3095" w:type="dxa"/>
            <w:tcBorders/>
            <w:vAlign w:val="center"/>
          </w:tcPr>
          <w:p>
            <w:pPr>
              <w:pStyle w:val="TableContents"/>
              <w:bidi w:val="0"/>
              <w:spacing w:before="0" w:after="283"/>
              <w:ind w:left="0" w:right="0" w:hanging="1440"/>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8 GENERAL PROVISIONS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46</w:t>
            </w:r>
          </w:p>
        </w:tc>
      </w:tr>
    </w:tbl>
    <w:p>
      <w:pPr>
        <w:pStyle w:val="TextBody"/>
        <w:bidi w:val="0"/>
        <w:spacing w:before="0" w:after="0"/>
        <w:ind w:left="0" w:right="0" w:hanging="0"/>
        <w:jc w:val="left"/>
        <w:rPr>
          <w:caps w:val="false"/>
          <w:smallCaps w:val="false"/>
        </w:rPr>
      </w:pPr>
      <w:r>
        <w:rPr>
          <w:caps w:val="false"/>
          <w:smallCaps w:val="false"/>
        </w:rPr>
        <w:t> </w:t>
      </w:r>
    </w:p>
    <w:tbl>
      <w:tblPr>
        <w:tblW w:w="1553" w:type="dxa"/>
        <w:jc w:val="left"/>
        <w:tblInd w:w="0" w:type="dxa"/>
        <w:tblLayout w:type="fixed"/>
        <w:tblCellMar>
          <w:top w:w="0" w:type="dxa"/>
          <w:left w:w="0" w:type="dxa"/>
          <w:bottom w:w="0" w:type="dxa"/>
          <w:right w:w="0" w:type="dxa"/>
        </w:tblCellMar>
      </w:tblPr>
      <w:tblGrid>
        <w:gridCol w:w="38"/>
        <w:gridCol w:w="500"/>
        <w:gridCol w:w="74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8.01.</w:t>
            </w:r>
          </w:p>
        </w:tc>
        <w:tc>
          <w:tcPr>
            <w:tcW w:w="740" w:type="dxa"/>
            <w:tcBorders/>
            <w:vAlign w:val="center"/>
          </w:tcPr>
          <w:p>
            <w:pPr>
              <w:pStyle w:val="TableContents"/>
              <w:bidi w:val="0"/>
              <w:spacing w:before="0" w:after="283"/>
              <w:jc w:val="left"/>
              <w:rPr/>
            </w:pPr>
            <w:r>
              <w:rPr>
                <w:b/>
                <w:i/>
              </w:rPr>
              <w:t>Notices</w:t>
            </w:r>
            <w:r>
              <w:rPr/>
              <w:tab/>
            </w:r>
          </w:p>
        </w:tc>
        <w:tc>
          <w:tcPr>
            <w:tcW w:w="275" w:type="dxa"/>
            <w:tcBorders/>
            <w:vAlign w:val="center"/>
          </w:tcPr>
          <w:p>
            <w:pPr>
              <w:pStyle w:val="TableContents"/>
              <w:bidi w:val="0"/>
              <w:spacing w:before="0" w:after="283"/>
              <w:jc w:val="right"/>
              <w:rPr/>
            </w:pPr>
            <w:r>
              <w:rPr/>
              <w:t>46</w:t>
            </w:r>
          </w:p>
        </w:tc>
      </w:tr>
    </w:tbl>
    <w:p>
      <w:pPr>
        <w:pStyle w:val="TextBody"/>
        <w:bidi w:val="0"/>
        <w:spacing w:before="0" w:after="0"/>
        <w:ind w:left="0" w:right="0" w:hanging="0"/>
        <w:jc w:val="left"/>
        <w:rPr>
          <w:caps w:val="false"/>
          <w:smallCaps w:val="false"/>
        </w:rPr>
      </w:pPr>
      <w:r>
        <w:rPr>
          <w:caps w:val="false"/>
          <w:smallCaps w:val="false"/>
        </w:rPr>
        <w:t> </w:t>
      </w:r>
    </w:p>
    <w:tbl>
      <w:tblPr>
        <w:tblW w:w="2573" w:type="dxa"/>
        <w:jc w:val="left"/>
        <w:tblInd w:w="0" w:type="dxa"/>
        <w:tblLayout w:type="fixed"/>
        <w:tblCellMar>
          <w:top w:w="0" w:type="dxa"/>
          <w:left w:w="0" w:type="dxa"/>
          <w:bottom w:w="0" w:type="dxa"/>
          <w:right w:w="0" w:type="dxa"/>
        </w:tblCellMar>
      </w:tblPr>
      <w:tblGrid>
        <w:gridCol w:w="38"/>
        <w:gridCol w:w="500"/>
        <w:gridCol w:w="17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8.02.</w:t>
            </w:r>
          </w:p>
        </w:tc>
        <w:tc>
          <w:tcPr>
            <w:tcW w:w="1760" w:type="dxa"/>
            <w:tcBorders/>
            <w:vAlign w:val="center"/>
          </w:tcPr>
          <w:p>
            <w:pPr>
              <w:pStyle w:val="TableContents"/>
              <w:bidi w:val="0"/>
              <w:spacing w:before="0" w:after="283"/>
              <w:jc w:val="left"/>
              <w:rPr/>
            </w:pPr>
            <w:r>
              <w:rPr>
                <w:b/>
                <w:i/>
              </w:rPr>
              <w:t>Entire Agreement</w:t>
            </w:r>
            <w:r>
              <w:rPr/>
              <w:tab/>
            </w:r>
          </w:p>
        </w:tc>
        <w:tc>
          <w:tcPr>
            <w:tcW w:w="275" w:type="dxa"/>
            <w:tcBorders/>
            <w:vAlign w:val="center"/>
          </w:tcPr>
          <w:p>
            <w:pPr>
              <w:pStyle w:val="TableContents"/>
              <w:bidi w:val="0"/>
              <w:spacing w:before="0" w:after="283"/>
              <w:jc w:val="right"/>
              <w:rPr/>
            </w:pPr>
            <w:r>
              <w:rPr/>
              <w:t>47</w:t>
            </w:r>
          </w:p>
        </w:tc>
      </w:tr>
    </w:tbl>
    <w:p>
      <w:pPr>
        <w:pStyle w:val="TextBody"/>
        <w:bidi w:val="0"/>
        <w:spacing w:before="0" w:after="0"/>
        <w:ind w:left="0" w:right="0" w:hanging="0"/>
        <w:jc w:val="left"/>
        <w:rPr>
          <w:caps w:val="false"/>
          <w:smallCaps w:val="false"/>
        </w:rPr>
      </w:pPr>
      <w:r>
        <w:rPr>
          <w:caps w:val="false"/>
          <w:smallCaps w:val="false"/>
        </w:rPr>
        <w:t> </w:t>
      </w:r>
    </w:p>
    <w:tbl>
      <w:tblPr>
        <w:tblW w:w="2933" w:type="dxa"/>
        <w:jc w:val="left"/>
        <w:tblInd w:w="0" w:type="dxa"/>
        <w:tblLayout w:type="fixed"/>
        <w:tblCellMar>
          <w:top w:w="0" w:type="dxa"/>
          <w:left w:w="0" w:type="dxa"/>
          <w:bottom w:w="0" w:type="dxa"/>
          <w:right w:w="0" w:type="dxa"/>
        </w:tblCellMar>
      </w:tblPr>
      <w:tblGrid>
        <w:gridCol w:w="38"/>
        <w:gridCol w:w="500"/>
        <w:gridCol w:w="2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8.03.</w:t>
            </w:r>
          </w:p>
        </w:tc>
        <w:tc>
          <w:tcPr>
            <w:tcW w:w="2120" w:type="dxa"/>
            <w:tcBorders/>
            <w:vAlign w:val="center"/>
          </w:tcPr>
          <w:p>
            <w:pPr>
              <w:pStyle w:val="TableContents"/>
              <w:bidi w:val="0"/>
              <w:spacing w:before="0" w:after="283"/>
              <w:jc w:val="left"/>
              <w:rPr/>
            </w:pPr>
            <w:r>
              <w:rPr>
                <w:b/>
                <w:i/>
              </w:rPr>
              <w:t>Specific Performance</w:t>
            </w:r>
            <w:r>
              <w:rPr/>
              <w:tab/>
            </w:r>
          </w:p>
        </w:tc>
        <w:tc>
          <w:tcPr>
            <w:tcW w:w="275" w:type="dxa"/>
            <w:tcBorders/>
            <w:vAlign w:val="center"/>
          </w:tcPr>
          <w:p>
            <w:pPr>
              <w:pStyle w:val="TableContents"/>
              <w:bidi w:val="0"/>
              <w:spacing w:before="0" w:after="283"/>
              <w:jc w:val="right"/>
              <w:rPr/>
            </w:pPr>
            <w:r>
              <w:rPr/>
              <w:t>47</w:t>
            </w:r>
          </w:p>
        </w:tc>
      </w:tr>
    </w:tbl>
    <w:p>
      <w:pPr>
        <w:pStyle w:val="TextBody"/>
        <w:bidi w:val="0"/>
        <w:spacing w:before="0" w:after="0"/>
        <w:ind w:left="0" w:right="0" w:hanging="0"/>
        <w:jc w:val="left"/>
        <w:rPr>
          <w:caps w:val="false"/>
          <w:smallCaps w:val="false"/>
        </w:rPr>
      </w:pPr>
      <w:r>
        <w:rPr>
          <w:caps w:val="false"/>
          <w:smallCaps w:val="false"/>
        </w:rPr>
        <w:t> </w:t>
      </w:r>
    </w:p>
    <w:tbl>
      <w:tblPr>
        <w:tblW w:w="2798" w:type="dxa"/>
        <w:jc w:val="left"/>
        <w:tblInd w:w="0" w:type="dxa"/>
        <w:tblLayout w:type="fixed"/>
        <w:tblCellMar>
          <w:top w:w="0" w:type="dxa"/>
          <w:left w:w="0" w:type="dxa"/>
          <w:bottom w:w="0" w:type="dxa"/>
          <w:right w:w="0" w:type="dxa"/>
        </w:tblCellMar>
      </w:tblPr>
      <w:tblGrid>
        <w:gridCol w:w="38"/>
        <w:gridCol w:w="500"/>
        <w:gridCol w:w="198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8.04.</w:t>
            </w:r>
          </w:p>
        </w:tc>
        <w:tc>
          <w:tcPr>
            <w:tcW w:w="1985" w:type="dxa"/>
            <w:tcBorders/>
            <w:vAlign w:val="center"/>
          </w:tcPr>
          <w:p>
            <w:pPr>
              <w:pStyle w:val="TableContents"/>
              <w:bidi w:val="0"/>
              <w:spacing w:before="0" w:after="283"/>
              <w:jc w:val="left"/>
              <w:rPr/>
            </w:pPr>
            <w:r>
              <w:rPr>
                <w:b/>
                <w:i/>
              </w:rPr>
              <w:t>Time of the Essence</w:t>
            </w:r>
            <w:r>
              <w:rPr/>
              <w:tab/>
            </w:r>
          </w:p>
        </w:tc>
        <w:tc>
          <w:tcPr>
            <w:tcW w:w="275" w:type="dxa"/>
            <w:tcBorders/>
            <w:vAlign w:val="center"/>
          </w:tcPr>
          <w:p>
            <w:pPr>
              <w:pStyle w:val="TableContents"/>
              <w:bidi w:val="0"/>
              <w:spacing w:before="0" w:after="283"/>
              <w:jc w:val="right"/>
              <w:rPr/>
            </w:pPr>
            <w:r>
              <w:rPr/>
              <w:t>47</w:t>
            </w:r>
          </w:p>
        </w:tc>
      </w:tr>
    </w:tbl>
    <w:p>
      <w:pPr>
        <w:pStyle w:val="TextBody"/>
        <w:bidi w:val="0"/>
        <w:spacing w:before="0" w:after="0"/>
        <w:ind w:left="0" w:right="0" w:hanging="0"/>
        <w:jc w:val="left"/>
        <w:rPr>
          <w:caps w:val="false"/>
          <w:smallCaps w:val="false"/>
        </w:rPr>
      </w:pPr>
      <w:r>
        <w:rPr>
          <w:caps w:val="false"/>
          <w:smallCaps w:val="false"/>
        </w:rPr>
        <w:t> </w:t>
      </w:r>
    </w:p>
    <w:tbl>
      <w:tblPr>
        <w:tblW w:w="1763" w:type="dxa"/>
        <w:jc w:val="left"/>
        <w:tblInd w:w="0" w:type="dxa"/>
        <w:tblLayout w:type="fixed"/>
        <w:tblCellMar>
          <w:top w:w="0" w:type="dxa"/>
          <w:left w:w="0" w:type="dxa"/>
          <w:bottom w:w="0" w:type="dxa"/>
          <w:right w:w="0" w:type="dxa"/>
        </w:tblCellMar>
      </w:tblPr>
      <w:tblGrid>
        <w:gridCol w:w="38"/>
        <w:gridCol w:w="500"/>
        <w:gridCol w:w="95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8.05.</w:t>
            </w:r>
          </w:p>
        </w:tc>
        <w:tc>
          <w:tcPr>
            <w:tcW w:w="950" w:type="dxa"/>
            <w:tcBorders/>
            <w:vAlign w:val="center"/>
          </w:tcPr>
          <w:p>
            <w:pPr>
              <w:pStyle w:val="TableContents"/>
              <w:bidi w:val="0"/>
              <w:spacing w:before="0" w:after="283"/>
              <w:jc w:val="left"/>
              <w:rPr/>
            </w:pPr>
            <w:r>
              <w:rPr>
                <w:b/>
                <w:i/>
              </w:rPr>
              <w:t>Expenses</w:t>
            </w:r>
            <w:r>
              <w:rPr/>
              <w:tab/>
            </w:r>
          </w:p>
        </w:tc>
        <w:tc>
          <w:tcPr>
            <w:tcW w:w="275" w:type="dxa"/>
            <w:tcBorders/>
            <w:vAlign w:val="center"/>
          </w:tcPr>
          <w:p>
            <w:pPr>
              <w:pStyle w:val="TableContents"/>
              <w:bidi w:val="0"/>
              <w:spacing w:before="0" w:after="283"/>
              <w:jc w:val="right"/>
              <w:rPr/>
            </w:pPr>
            <w:r>
              <w:rPr/>
              <w:t>47</w:t>
            </w:r>
          </w:p>
        </w:tc>
      </w:tr>
    </w:tbl>
    <w:p>
      <w:pPr>
        <w:pStyle w:val="TextBody"/>
        <w:bidi w:val="0"/>
        <w:spacing w:before="0" w:after="0"/>
        <w:ind w:left="0" w:right="0" w:hanging="0"/>
        <w:jc w:val="left"/>
        <w:rPr>
          <w:caps w:val="false"/>
          <w:smallCaps w:val="false"/>
        </w:rPr>
      </w:pPr>
      <w:r>
        <w:rPr>
          <w:caps w:val="false"/>
          <w:smallCaps w:val="false"/>
        </w:rPr>
        <w:t> </w:t>
      </w:r>
    </w:p>
    <w:tbl>
      <w:tblPr>
        <w:tblW w:w="3533" w:type="dxa"/>
        <w:jc w:val="left"/>
        <w:tblInd w:w="0" w:type="dxa"/>
        <w:tblLayout w:type="fixed"/>
        <w:tblCellMar>
          <w:top w:w="0" w:type="dxa"/>
          <w:left w:w="0" w:type="dxa"/>
          <w:bottom w:w="0" w:type="dxa"/>
          <w:right w:w="0" w:type="dxa"/>
        </w:tblCellMar>
      </w:tblPr>
      <w:tblGrid>
        <w:gridCol w:w="38"/>
        <w:gridCol w:w="500"/>
        <w:gridCol w:w="27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8.06.</w:t>
            </w:r>
          </w:p>
        </w:tc>
        <w:tc>
          <w:tcPr>
            <w:tcW w:w="2720" w:type="dxa"/>
            <w:tcBorders/>
            <w:vAlign w:val="center"/>
          </w:tcPr>
          <w:p>
            <w:pPr>
              <w:pStyle w:val="TableContents"/>
              <w:bidi w:val="0"/>
              <w:spacing w:before="0" w:after="283"/>
              <w:jc w:val="left"/>
              <w:rPr/>
            </w:pPr>
            <w:r>
              <w:rPr>
                <w:b/>
                <w:i/>
              </w:rPr>
              <w:t>Confidentiality; Disclosures</w:t>
            </w:r>
            <w:r>
              <w:rPr/>
              <w:tab/>
            </w:r>
          </w:p>
        </w:tc>
        <w:tc>
          <w:tcPr>
            <w:tcW w:w="275" w:type="dxa"/>
            <w:tcBorders/>
            <w:vAlign w:val="center"/>
          </w:tcPr>
          <w:p>
            <w:pPr>
              <w:pStyle w:val="TableContents"/>
              <w:bidi w:val="0"/>
              <w:spacing w:before="0" w:after="283"/>
              <w:jc w:val="right"/>
              <w:rPr/>
            </w:pPr>
            <w:r>
              <w:rPr/>
              <w:t>47</w:t>
            </w:r>
          </w:p>
        </w:tc>
      </w:tr>
    </w:tbl>
    <w:p>
      <w:pPr>
        <w:pStyle w:val="TextBody"/>
        <w:bidi w:val="0"/>
        <w:spacing w:before="0" w:after="0"/>
        <w:ind w:left="0" w:right="0" w:hanging="0"/>
        <w:jc w:val="left"/>
        <w:rPr>
          <w:caps w:val="false"/>
          <w:smallCaps w:val="false"/>
        </w:rPr>
      </w:pPr>
      <w:r>
        <w:rPr>
          <w:caps w:val="false"/>
          <w:smallCaps w:val="false"/>
        </w:rPr>
        <w:t> </w:t>
      </w:r>
    </w:p>
    <w:tbl>
      <w:tblPr>
        <w:tblW w:w="1523" w:type="dxa"/>
        <w:jc w:val="left"/>
        <w:tblInd w:w="0" w:type="dxa"/>
        <w:tblLayout w:type="fixed"/>
        <w:tblCellMar>
          <w:top w:w="0" w:type="dxa"/>
          <w:left w:w="0" w:type="dxa"/>
          <w:bottom w:w="0" w:type="dxa"/>
          <w:right w:w="0" w:type="dxa"/>
        </w:tblCellMar>
      </w:tblPr>
      <w:tblGrid>
        <w:gridCol w:w="38"/>
        <w:gridCol w:w="500"/>
        <w:gridCol w:w="71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8.07.</w:t>
            </w:r>
          </w:p>
        </w:tc>
        <w:tc>
          <w:tcPr>
            <w:tcW w:w="710" w:type="dxa"/>
            <w:tcBorders/>
            <w:vAlign w:val="center"/>
          </w:tcPr>
          <w:p>
            <w:pPr>
              <w:pStyle w:val="TableContents"/>
              <w:bidi w:val="0"/>
              <w:spacing w:before="0" w:after="283"/>
              <w:jc w:val="left"/>
              <w:rPr/>
            </w:pPr>
            <w:r>
              <w:rPr>
                <w:b/>
                <w:i/>
              </w:rPr>
              <w:t>Waiver</w:t>
            </w:r>
            <w:r>
              <w:rPr/>
              <w:tab/>
            </w:r>
          </w:p>
        </w:tc>
        <w:tc>
          <w:tcPr>
            <w:tcW w:w="275" w:type="dxa"/>
            <w:tcBorders/>
            <w:vAlign w:val="center"/>
          </w:tcPr>
          <w:p>
            <w:pPr>
              <w:pStyle w:val="TableContents"/>
              <w:bidi w:val="0"/>
              <w:spacing w:before="0" w:after="283"/>
              <w:jc w:val="right"/>
              <w:rPr/>
            </w:pPr>
            <w:r>
              <w:rPr/>
              <w:t>47</w:t>
            </w:r>
          </w:p>
        </w:tc>
      </w:tr>
    </w:tbl>
    <w:p>
      <w:pPr>
        <w:pStyle w:val="TextBody"/>
        <w:bidi w:val="0"/>
        <w:spacing w:before="0" w:after="0"/>
        <w:ind w:left="0" w:right="0" w:hanging="0"/>
        <w:jc w:val="left"/>
        <w:rPr>
          <w:caps w:val="false"/>
          <w:smallCaps w:val="false"/>
        </w:rPr>
      </w:pPr>
      <w:r>
        <w:rPr>
          <w:caps w:val="false"/>
          <w:smallCaps w:val="false"/>
        </w:rPr>
        <w:t> </w:t>
      </w:r>
    </w:p>
    <w:tbl>
      <w:tblPr>
        <w:tblW w:w="2018" w:type="dxa"/>
        <w:jc w:val="left"/>
        <w:tblInd w:w="0" w:type="dxa"/>
        <w:tblLayout w:type="fixed"/>
        <w:tblCellMar>
          <w:top w:w="0" w:type="dxa"/>
          <w:left w:w="0" w:type="dxa"/>
          <w:bottom w:w="0" w:type="dxa"/>
          <w:right w:w="0" w:type="dxa"/>
        </w:tblCellMar>
      </w:tblPr>
      <w:tblGrid>
        <w:gridCol w:w="38"/>
        <w:gridCol w:w="500"/>
        <w:gridCol w:w="120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8.08.</w:t>
            </w:r>
          </w:p>
        </w:tc>
        <w:tc>
          <w:tcPr>
            <w:tcW w:w="1205" w:type="dxa"/>
            <w:tcBorders/>
            <w:vAlign w:val="center"/>
          </w:tcPr>
          <w:p>
            <w:pPr>
              <w:pStyle w:val="TableContents"/>
              <w:bidi w:val="0"/>
              <w:spacing w:before="0" w:after="283"/>
              <w:jc w:val="left"/>
              <w:rPr/>
            </w:pPr>
            <w:r>
              <w:rPr>
                <w:b/>
                <w:i/>
              </w:rPr>
              <w:t>Amendment</w:t>
            </w:r>
            <w:r>
              <w:rPr/>
              <w:tab/>
            </w:r>
          </w:p>
        </w:tc>
        <w:tc>
          <w:tcPr>
            <w:tcW w:w="275" w:type="dxa"/>
            <w:tcBorders/>
            <w:vAlign w:val="center"/>
          </w:tcPr>
          <w:p>
            <w:pPr>
              <w:pStyle w:val="TableContents"/>
              <w:bidi w:val="0"/>
              <w:spacing w:before="0" w:after="283"/>
              <w:jc w:val="right"/>
              <w:rPr/>
            </w:pPr>
            <w:r>
              <w:rPr/>
              <w:t>48</w:t>
            </w:r>
          </w:p>
        </w:tc>
      </w:tr>
    </w:tbl>
    <w:p>
      <w:pPr>
        <w:pStyle w:val="TextBody"/>
        <w:bidi w:val="0"/>
        <w:spacing w:before="0" w:after="0"/>
        <w:ind w:left="0" w:right="0" w:hanging="0"/>
        <w:jc w:val="left"/>
        <w:rPr>
          <w:caps w:val="false"/>
          <w:smallCaps w:val="false"/>
        </w:rPr>
      </w:pPr>
      <w:r>
        <w:rPr>
          <w:caps w:val="false"/>
          <w:smallCaps w:val="false"/>
        </w:rPr>
        <w:t> </w:t>
      </w:r>
    </w:p>
    <w:tbl>
      <w:tblPr>
        <w:tblW w:w="3518" w:type="dxa"/>
        <w:jc w:val="left"/>
        <w:tblInd w:w="0" w:type="dxa"/>
        <w:tblLayout w:type="fixed"/>
        <w:tblCellMar>
          <w:top w:w="0" w:type="dxa"/>
          <w:left w:w="0" w:type="dxa"/>
          <w:bottom w:w="0" w:type="dxa"/>
          <w:right w:w="0" w:type="dxa"/>
        </w:tblCellMar>
      </w:tblPr>
      <w:tblGrid>
        <w:gridCol w:w="38"/>
        <w:gridCol w:w="500"/>
        <w:gridCol w:w="270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8.09.</w:t>
            </w:r>
          </w:p>
        </w:tc>
        <w:tc>
          <w:tcPr>
            <w:tcW w:w="2705" w:type="dxa"/>
            <w:tcBorders/>
            <w:vAlign w:val="center"/>
          </w:tcPr>
          <w:p>
            <w:pPr>
              <w:pStyle w:val="TableContents"/>
              <w:bidi w:val="0"/>
              <w:spacing w:before="0" w:after="283"/>
              <w:jc w:val="left"/>
              <w:rPr/>
            </w:pPr>
            <w:r>
              <w:rPr>
                <w:b/>
                <w:i/>
              </w:rPr>
              <w:t>No Third Party Beneficiary</w:t>
            </w:r>
            <w:r>
              <w:rPr/>
              <w:tab/>
            </w:r>
          </w:p>
        </w:tc>
        <w:tc>
          <w:tcPr>
            <w:tcW w:w="275" w:type="dxa"/>
            <w:tcBorders/>
            <w:vAlign w:val="center"/>
          </w:tcPr>
          <w:p>
            <w:pPr>
              <w:pStyle w:val="TableContents"/>
              <w:bidi w:val="0"/>
              <w:spacing w:before="0" w:after="283"/>
              <w:jc w:val="right"/>
              <w:rPr/>
            </w:pPr>
            <w:r>
              <w:rPr/>
              <w:t>48</w:t>
            </w:r>
          </w:p>
        </w:tc>
      </w:tr>
    </w:tbl>
    <w:p>
      <w:pPr>
        <w:pStyle w:val="TextBody"/>
        <w:bidi w:val="0"/>
        <w:spacing w:before="0" w:after="0"/>
        <w:ind w:left="0" w:right="0" w:hanging="0"/>
        <w:jc w:val="left"/>
        <w:rPr>
          <w:caps w:val="false"/>
          <w:smallCaps w:val="false"/>
        </w:rPr>
      </w:pPr>
      <w:r>
        <w:rPr>
          <w:caps w:val="false"/>
          <w:smallCaps w:val="false"/>
        </w:rPr>
        <w:t> </w:t>
      </w:r>
    </w:p>
    <w:tbl>
      <w:tblPr>
        <w:tblW w:w="1973" w:type="dxa"/>
        <w:jc w:val="left"/>
        <w:tblInd w:w="0" w:type="dxa"/>
        <w:tblLayout w:type="fixed"/>
        <w:tblCellMar>
          <w:top w:w="0" w:type="dxa"/>
          <w:left w:w="0" w:type="dxa"/>
          <w:bottom w:w="0" w:type="dxa"/>
          <w:right w:w="0" w:type="dxa"/>
        </w:tblCellMar>
      </w:tblPr>
      <w:tblGrid>
        <w:gridCol w:w="38"/>
        <w:gridCol w:w="500"/>
        <w:gridCol w:w="11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8.10.</w:t>
            </w:r>
          </w:p>
        </w:tc>
        <w:tc>
          <w:tcPr>
            <w:tcW w:w="1160" w:type="dxa"/>
            <w:tcBorders/>
            <w:vAlign w:val="center"/>
          </w:tcPr>
          <w:p>
            <w:pPr>
              <w:pStyle w:val="TableContents"/>
              <w:bidi w:val="0"/>
              <w:spacing w:before="0" w:after="283"/>
              <w:jc w:val="left"/>
              <w:rPr/>
            </w:pPr>
            <w:r>
              <w:rPr>
                <w:b/>
                <w:i/>
              </w:rPr>
              <w:t>Assignment</w:t>
            </w:r>
            <w:r>
              <w:rPr/>
              <w:tab/>
            </w:r>
          </w:p>
        </w:tc>
        <w:tc>
          <w:tcPr>
            <w:tcW w:w="275" w:type="dxa"/>
            <w:tcBorders/>
            <w:vAlign w:val="center"/>
          </w:tcPr>
          <w:p>
            <w:pPr>
              <w:pStyle w:val="TableContents"/>
              <w:bidi w:val="0"/>
              <w:spacing w:before="0" w:after="283"/>
              <w:jc w:val="right"/>
              <w:rPr/>
            </w:pPr>
            <w:r>
              <w:rPr/>
              <w:t>48</w:t>
            </w:r>
          </w:p>
        </w:tc>
      </w:tr>
    </w:tbl>
    <w:p>
      <w:pPr>
        <w:pStyle w:val="TextBody"/>
        <w:bidi w:val="0"/>
        <w:spacing w:before="0" w:after="0"/>
        <w:ind w:left="0" w:right="0" w:hanging="0"/>
        <w:jc w:val="left"/>
        <w:rPr>
          <w:caps w:val="false"/>
          <w:smallCaps w:val="false"/>
        </w:rPr>
      </w:pPr>
      <w:r>
        <w:rPr>
          <w:caps w:val="false"/>
          <w:smallCaps w:val="false"/>
        </w:rPr>
        <w:t> </w:t>
      </w:r>
    </w:p>
    <w:tbl>
      <w:tblPr>
        <w:tblW w:w="1958" w:type="dxa"/>
        <w:jc w:val="left"/>
        <w:tblInd w:w="0" w:type="dxa"/>
        <w:tblLayout w:type="fixed"/>
        <w:tblCellMar>
          <w:top w:w="0" w:type="dxa"/>
          <w:left w:w="0" w:type="dxa"/>
          <w:bottom w:w="0" w:type="dxa"/>
          <w:right w:w="0" w:type="dxa"/>
        </w:tblCellMar>
      </w:tblPr>
      <w:tblGrid>
        <w:gridCol w:w="38"/>
        <w:gridCol w:w="500"/>
        <w:gridCol w:w="114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8.11.</w:t>
            </w:r>
          </w:p>
        </w:tc>
        <w:tc>
          <w:tcPr>
            <w:tcW w:w="1145" w:type="dxa"/>
            <w:tcBorders/>
            <w:vAlign w:val="center"/>
          </w:tcPr>
          <w:p>
            <w:pPr>
              <w:pStyle w:val="TableContents"/>
              <w:bidi w:val="0"/>
              <w:spacing w:before="0" w:after="283"/>
              <w:jc w:val="left"/>
              <w:rPr/>
            </w:pPr>
            <w:r>
              <w:rPr>
                <w:b/>
                <w:i/>
              </w:rPr>
              <w:t>Severability</w:t>
            </w:r>
            <w:r>
              <w:rPr/>
              <w:tab/>
            </w:r>
          </w:p>
        </w:tc>
        <w:tc>
          <w:tcPr>
            <w:tcW w:w="275" w:type="dxa"/>
            <w:tcBorders/>
            <w:vAlign w:val="center"/>
          </w:tcPr>
          <w:p>
            <w:pPr>
              <w:pStyle w:val="TableContents"/>
              <w:bidi w:val="0"/>
              <w:spacing w:before="0" w:after="283"/>
              <w:jc w:val="right"/>
              <w:rPr/>
            </w:pPr>
            <w:r>
              <w:rPr/>
              <w:t>48</w:t>
            </w:r>
          </w:p>
        </w:tc>
      </w:tr>
    </w:tbl>
    <w:p>
      <w:pPr>
        <w:pStyle w:val="TextBody"/>
        <w:bidi w:val="0"/>
        <w:spacing w:before="0" w:after="0"/>
        <w:ind w:left="0" w:right="0" w:hanging="0"/>
        <w:jc w:val="left"/>
        <w:rPr>
          <w:caps w:val="false"/>
          <w:smallCaps w:val="false"/>
        </w:rPr>
      </w:pPr>
      <w:r>
        <w:rPr>
          <w:caps w:val="false"/>
          <w:smallCaps w:val="false"/>
        </w:rPr>
        <w:t> </w:t>
      </w:r>
    </w:p>
    <w:tbl>
      <w:tblPr>
        <w:tblW w:w="2378" w:type="dxa"/>
        <w:jc w:val="left"/>
        <w:tblInd w:w="0" w:type="dxa"/>
        <w:tblLayout w:type="fixed"/>
        <w:tblCellMar>
          <w:top w:w="0" w:type="dxa"/>
          <w:left w:w="0" w:type="dxa"/>
          <w:bottom w:w="0" w:type="dxa"/>
          <w:right w:w="0" w:type="dxa"/>
        </w:tblCellMar>
      </w:tblPr>
      <w:tblGrid>
        <w:gridCol w:w="38"/>
        <w:gridCol w:w="500"/>
        <w:gridCol w:w="156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8.12.</w:t>
            </w:r>
          </w:p>
        </w:tc>
        <w:tc>
          <w:tcPr>
            <w:tcW w:w="1565" w:type="dxa"/>
            <w:tcBorders/>
            <w:vAlign w:val="center"/>
          </w:tcPr>
          <w:p>
            <w:pPr>
              <w:pStyle w:val="TableContents"/>
              <w:bidi w:val="0"/>
              <w:spacing w:before="0" w:after="283"/>
              <w:jc w:val="left"/>
              <w:rPr/>
            </w:pPr>
            <w:r>
              <w:rPr>
                <w:b/>
                <w:i/>
              </w:rPr>
              <w:t>Governing Law</w:t>
            </w:r>
            <w:r>
              <w:rPr/>
              <w:tab/>
            </w:r>
          </w:p>
        </w:tc>
        <w:tc>
          <w:tcPr>
            <w:tcW w:w="275" w:type="dxa"/>
            <w:tcBorders/>
            <w:vAlign w:val="center"/>
          </w:tcPr>
          <w:p>
            <w:pPr>
              <w:pStyle w:val="TableContents"/>
              <w:bidi w:val="0"/>
              <w:spacing w:before="0" w:after="283"/>
              <w:jc w:val="right"/>
              <w:rPr/>
            </w:pPr>
            <w:r>
              <w:rPr/>
              <w:t>48</w:t>
            </w:r>
          </w:p>
        </w:tc>
      </w:tr>
    </w:tbl>
    <w:p>
      <w:pPr>
        <w:pStyle w:val="TextBody"/>
        <w:bidi w:val="0"/>
        <w:spacing w:before="0" w:after="0"/>
        <w:ind w:left="0" w:right="0" w:hanging="0"/>
        <w:jc w:val="left"/>
        <w:rPr>
          <w:caps w:val="false"/>
          <w:smallCaps w:val="false"/>
        </w:rPr>
      </w:pPr>
      <w:r>
        <w:rPr>
          <w:caps w:val="false"/>
          <w:smallCaps w:val="false"/>
        </w:rPr>
        <w:t> </w:t>
      </w:r>
    </w:p>
    <w:tbl>
      <w:tblPr>
        <w:tblW w:w="3098" w:type="dxa"/>
        <w:jc w:val="left"/>
        <w:tblInd w:w="0" w:type="dxa"/>
        <w:tblLayout w:type="fixed"/>
        <w:tblCellMar>
          <w:top w:w="0" w:type="dxa"/>
          <w:left w:w="0" w:type="dxa"/>
          <w:bottom w:w="0" w:type="dxa"/>
          <w:right w:w="0" w:type="dxa"/>
        </w:tblCellMar>
      </w:tblPr>
      <w:tblGrid>
        <w:gridCol w:w="38"/>
        <w:gridCol w:w="500"/>
        <w:gridCol w:w="228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8.13.</w:t>
            </w:r>
          </w:p>
        </w:tc>
        <w:tc>
          <w:tcPr>
            <w:tcW w:w="2285" w:type="dxa"/>
            <w:tcBorders/>
            <w:vAlign w:val="center"/>
          </w:tcPr>
          <w:p>
            <w:pPr>
              <w:pStyle w:val="TableContents"/>
              <w:bidi w:val="0"/>
              <w:spacing w:before="0" w:after="283"/>
              <w:jc w:val="left"/>
              <w:rPr/>
            </w:pPr>
            <w:r>
              <w:rPr>
                <w:b/>
                <w:i/>
              </w:rPr>
              <w:t>Consent to Jurisdiction</w:t>
            </w:r>
            <w:r>
              <w:rPr/>
              <w:tab/>
            </w:r>
          </w:p>
        </w:tc>
        <w:tc>
          <w:tcPr>
            <w:tcW w:w="275" w:type="dxa"/>
            <w:tcBorders/>
            <w:vAlign w:val="center"/>
          </w:tcPr>
          <w:p>
            <w:pPr>
              <w:pStyle w:val="TableContents"/>
              <w:bidi w:val="0"/>
              <w:spacing w:before="0" w:after="283"/>
              <w:jc w:val="right"/>
              <w:rPr/>
            </w:pPr>
            <w:r>
              <w:rPr/>
              <w:t>48</w:t>
            </w:r>
          </w:p>
        </w:tc>
      </w:tr>
    </w:tbl>
    <w:p>
      <w:pPr>
        <w:pStyle w:val="TextBody"/>
        <w:bidi w:val="0"/>
        <w:spacing w:before="0" w:after="0"/>
        <w:ind w:left="0" w:right="0" w:hanging="0"/>
        <w:jc w:val="left"/>
        <w:rPr>
          <w:caps w:val="false"/>
          <w:smallCaps w:val="false"/>
        </w:rPr>
      </w:pPr>
      <w:r>
        <w:rPr>
          <w:caps w:val="false"/>
          <w:smallCaps w:val="false"/>
        </w:rPr>
        <w:t> </w:t>
      </w:r>
    </w:p>
    <w:tbl>
      <w:tblPr>
        <w:tblW w:w="2828" w:type="dxa"/>
        <w:jc w:val="left"/>
        <w:tblInd w:w="0" w:type="dxa"/>
        <w:tblLayout w:type="fixed"/>
        <w:tblCellMar>
          <w:top w:w="0" w:type="dxa"/>
          <w:left w:w="0" w:type="dxa"/>
          <w:bottom w:w="0" w:type="dxa"/>
          <w:right w:w="0" w:type="dxa"/>
        </w:tblCellMar>
      </w:tblPr>
      <w:tblGrid>
        <w:gridCol w:w="38"/>
        <w:gridCol w:w="500"/>
        <w:gridCol w:w="201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8.14.</w:t>
            </w:r>
          </w:p>
        </w:tc>
        <w:tc>
          <w:tcPr>
            <w:tcW w:w="2015" w:type="dxa"/>
            <w:tcBorders/>
            <w:vAlign w:val="center"/>
          </w:tcPr>
          <w:p>
            <w:pPr>
              <w:pStyle w:val="TableContents"/>
              <w:bidi w:val="0"/>
              <w:spacing w:before="0" w:after="283"/>
              <w:jc w:val="left"/>
              <w:rPr/>
            </w:pPr>
            <w:r>
              <w:rPr>
                <w:b/>
                <w:i/>
              </w:rPr>
              <w:t>Waiver of Jury Trial</w:t>
            </w:r>
            <w:r>
              <w:rPr/>
              <w:tab/>
            </w:r>
          </w:p>
        </w:tc>
        <w:tc>
          <w:tcPr>
            <w:tcW w:w="275" w:type="dxa"/>
            <w:tcBorders/>
            <w:vAlign w:val="center"/>
          </w:tcPr>
          <w:p>
            <w:pPr>
              <w:pStyle w:val="TableContents"/>
              <w:bidi w:val="0"/>
              <w:spacing w:before="0" w:after="283"/>
              <w:jc w:val="right"/>
              <w:rPr/>
            </w:pPr>
            <w:r>
              <w:rPr/>
              <w:t>49</w:t>
            </w:r>
          </w:p>
        </w:tc>
      </w:tr>
    </w:tbl>
    <w:p>
      <w:pPr>
        <w:pStyle w:val="TextBody"/>
        <w:bidi w:val="0"/>
        <w:spacing w:before="0" w:after="0"/>
        <w:ind w:left="0" w:right="0" w:hanging="0"/>
        <w:jc w:val="left"/>
        <w:rPr>
          <w:caps w:val="false"/>
          <w:smallCaps w:val="false"/>
        </w:rPr>
      </w:pPr>
      <w:r>
        <w:rPr>
          <w:caps w:val="false"/>
          <w:smallCaps w:val="false"/>
        </w:rPr>
        <w:t> </w:t>
      </w:r>
    </w:p>
    <w:tbl>
      <w:tblPr>
        <w:tblW w:w="3923" w:type="dxa"/>
        <w:jc w:val="left"/>
        <w:tblInd w:w="0" w:type="dxa"/>
        <w:tblLayout w:type="fixed"/>
        <w:tblCellMar>
          <w:top w:w="0" w:type="dxa"/>
          <w:left w:w="0" w:type="dxa"/>
          <w:bottom w:w="0" w:type="dxa"/>
          <w:right w:w="0" w:type="dxa"/>
        </w:tblCellMar>
      </w:tblPr>
      <w:tblGrid>
        <w:gridCol w:w="38"/>
        <w:gridCol w:w="500"/>
        <w:gridCol w:w="311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8.15.</w:t>
            </w:r>
          </w:p>
        </w:tc>
        <w:tc>
          <w:tcPr>
            <w:tcW w:w="3110" w:type="dxa"/>
            <w:tcBorders/>
            <w:vAlign w:val="center"/>
          </w:tcPr>
          <w:p>
            <w:pPr>
              <w:pStyle w:val="TableContents"/>
              <w:bidi w:val="0"/>
              <w:spacing w:before="0" w:after="283"/>
              <w:jc w:val="left"/>
              <w:rPr/>
            </w:pPr>
            <w:r>
              <w:rPr>
                <w:b/>
                <w:i/>
              </w:rPr>
              <w:t>Limitation on Certain Damages</w:t>
            </w:r>
            <w:r>
              <w:rPr/>
              <w:tab/>
            </w:r>
          </w:p>
        </w:tc>
        <w:tc>
          <w:tcPr>
            <w:tcW w:w="275" w:type="dxa"/>
            <w:tcBorders/>
            <w:vAlign w:val="center"/>
          </w:tcPr>
          <w:p>
            <w:pPr>
              <w:pStyle w:val="TableContents"/>
              <w:bidi w:val="0"/>
              <w:spacing w:before="0" w:after="283"/>
              <w:jc w:val="right"/>
              <w:rPr/>
            </w:pPr>
            <w:r>
              <w:rPr/>
              <w:t>49</w:t>
            </w:r>
          </w:p>
        </w:tc>
      </w:tr>
    </w:tbl>
    <w:p>
      <w:pPr>
        <w:pStyle w:val="TextBody"/>
        <w:bidi w:val="0"/>
        <w:spacing w:before="0" w:after="0"/>
        <w:ind w:left="0" w:right="0" w:hanging="0"/>
        <w:jc w:val="left"/>
        <w:rPr>
          <w:caps w:val="false"/>
          <w:smallCaps w:val="false"/>
        </w:rPr>
      </w:pPr>
      <w:r>
        <w:rPr>
          <w:caps w:val="false"/>
          <w:smallCaps w:val="false"/>
        </w:rPr>
        <w:t> </w:t>
      </w:r>
    </w:p>
    <w:tbl>
      <w:tblPr>
        <w:tblW w:w="1958" w:type="dxa"/>
        <w:jc w:val="left"/>
        <w:tblInd w:w="0" w:type="dxa"/>
        <w:tblLayout w:type="fixed"/>
        <w:tblCellMar>
          <w:top w:w="0" w:type="dxa"/>
          <w:left w:w="0" w:type="dxa"/>
          <w:bottom w:w="0" w:type="dxa"/>
          <w:right w:w="0" w:type="dxa"/>
        </w:tblCellMar>
      </w:tblPr>
      <w:tblGrid>
        <w:gridCol w:w="38"/>
        <w:gridCol w:w="500"/>
        <w:gridCol w:w="114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8.16.</w:t>
            </w:r>
          </w:p>
        </w:tc>
        <w:tc>
          <w:tcPr>
            <w:tcW w:w="1145" w:type="dxa"/>
            <w:tcBorders/>
            <w:vAlign w:val="center"/>
          </w:tcPr>
          <w:p>
            <w:pPr>
              <w:pStyle w:val="TableContents"/>
              <w:bidi w:val="0"/>
              <w:spacing w:before="0" w:after="283"/>
              <w:jc w:val="left"/>
              <w:rPr/>
            </w:pPr>
            <w:r>
              <w:rPr>
                <w:b/>
                <w:i/>
              </w:rPr>
              <w:t>Disclosures</w:t>
            </w:r>
            <w:r>
              <w:rPr/>
              <w:tab/>
            </w:r>
          </w:p>
        </w:tc>
        <w:tc>
          <w:tcPr>
            <w:tcW w:w="275" w:type="dxa"/>
            <w:tcBorders/>
            <w:vAlign w:val="center"/>
          </w:tcPr>
          <w:p>
            <w:pPr>
              <w:pStyle w:val="TableContents"/>
              <w:bidi w:val="0"/>
              <w:spacing w:before="0" w:after="283"/>
              <w:jc w:val="right"/>
              <w:rPr/>
            </w:pPr>
            <w:r>
              <w:rPr/>
              <w:t>49</w:t>
            </w:r>
          </w:p>
        </w:tc>
      </w:tr>
    </w:tbl>
    <w:p>
      <w:pPr>
        <w:pStyle w:val="TextBody"/>
        <w:bidi w:val="0"/>
        <w:spacing w:before="0" w:after="0"/>
        <w:ind w:left="0" w:right="0" w:hanging="0"/>
        <w:jc w:val="left"/>
        <w:rPr>
          <w:caps w:val="false"/>
          <w:smallCaps w:val="false"/>
        </w:rPr>
      </w:pPr>
      <w:r>
        <w:rPr>
          <w:caps w:val="false"/>
          <w:smallCaps w:val="false"/>
        </w:rPr>
        <w:t> </w:t>
      </w:r>
    </w:p>
    <w:tbl>
      <w:tblPr>
        <w:tblW w:w="3773" w:type="dxa"/>
        <w:jc w:val="left"/>
        <w:tblInd w:w="0" w:type="dxa"/>
        <w:tblLayout w:type="fixed"/>
        <w:tblCellMar>
          <w:top w:w="0" w:type="dxa"/>
          <w:left w:w="0" w:type="dxa"/>
          <w:bottom w:w="0" w:type="dxa"/>
          <w:right w:w="0" w:type="dxa"/>
        </w:tblCellMar>
      </w:tblPr>
      <w:tblGrid>
        <w:gridCol w:w="38"/>
        <w:gridCol w:w="500"/>
        <w:gridCol w:w="29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8.17.</w:t>
            </w:r>
          </w:p>
        </w:tc>
        <w:tc>
          <w:tcPr>
            <w:tcW w:w="2960" w:type="dxa"/>
            <w:tcBorders/>
            <w:vAlign w:val="center"/>
          </w:tcPr>
          <w:p>
            <w:pPr>
              <w:pStyle w:val="TableContents"/>
              <w:bidi w:val="0"/>
              <w:spacing w:before="0" w:after="283"/>
              <w:jc w:val="left"/>
              <w:rPr/>
            </w:pPr>
            <w:r>
              <w:rPr>
                <w:b/>
                <w:i/>
              </w:rPr>
              <w:t>PDF Signature; Counterparts</w:t>
            </w:r>
            <w:r>
              <w:rPr/>
              <w:tab/>
            </w:r>
          </w:p>
        </w:tc>
        <w:tc>
          <w:tcPr>
            <w:tcW w:w="275" w:type="dxa"/>
            <w:tcBorders/>
            <w:vAlign w:val="center"/>
          </w:tcPr>
          <w:p>
            <w:pPr>
              <w:pStyle w:val="TableContents"/>
              <w:bidi w:val="0"/>
              <w:spacing w:before="0" w:after="283"/>
              <w:jc w:val="right"/>
              <w:rPr/>
            </w:pPr>
            <w:r>
              <w:rPr/>
              <w:t>49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rFonts w:ascii="Times New Roman;Times;Serif" w:hAnsi="Times New Roman;Times;Serif"/>
          <w:sz w:val="20"/>
          <w:bdr w:val="single" w:sz="8" w:space="1" w:color="000000"/>
        </w:rPr>
        <w:t>ii</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815"/>
        <w:gridCol w:w="3875"/>
      </w:tblGrid>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387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Form of Assignment of Membership Interests</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387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Form of Purchaser Parent Guaranty</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c>
          <w:tcPr>
            <w:tcW w:w="387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Form of Seller Parent Guaranty</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w:t>
            </w:r>
          </w:p>
        </w:tc>
        <w:tc>
          <w:tcPr>
            <w:tcW w:w="387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Form of Officer’s Certificate of Seller</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w:t>
            </w:r>
          </w:p>
        </w:tc>
        <w:tc>
          <w:tcPr>
            <w:tcW w:w="387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Form of Secretary’s Certificate of Seller</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w:t>
            </w:r>
          </w:p>
        </w:tc>
        <w:tc>
          <w:tcPr>
            <w:tcW w:w="387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Form of Officer’s Certificate of Purchaser</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G</w:t>
            </w:r>
          </w:p>
        </w:tc>
        <w:tc>
          <w:tcPr>
            <w:tcW w:w="387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Form of Secretary’s Certificate of Purchaser</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H</w:t>
            </w:r>
          </w:p>
        </w:tc>
        <w:tc>
          <w:tcPr>
            <w:tcW w:w="387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Form of A&amp;R LLC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Schedules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1745"/>
        <w:gridCol w:w="3440"/>
      </w:tblGrid>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6.01</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Indemnification Matters</w:t>
            </w:r>
          </w:p>
        </w:tc>
      </w:tr>
      <w:tr>
        <w:trPr/>
        <w:tc>
          <w:tcPr>
            <w:tcW w:w="174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r>
      <w:tr>
        <w:trPr/>
        <w:tc>
          <w:tcPr>
            <w:tcW w:w="51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Seller Disclosure Schedules:</w:t>
            </w:r>
          </w:p>
        </w:tc>
      </w:tr>
      <w:tr>
        <w:trPr/>
        <w:tc>
          <w:tcPr>
            <w:tcW w:w="5185" w:type="dxa"/>
            <w:gridSpan w:val="2"/>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1.01</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Liens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3.01(c)</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Consents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3.01(e)</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Approvals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3.01(f)</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Proceedings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3.01(g)</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Business Jurisdictions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Equity Encumbrances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and Officers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3.01(i)(v)</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Options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3.01(i)(vi)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Additional Investments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3.01(i)(vii)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Additional Business Operations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3.01(j)</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Liabilities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3.01(k)</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3.01(m)(i)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Contracts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3.01(m)(iii)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Contracts Defaults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3.01(n)(i)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Land</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3.01(n)(ii)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Real Property Agreements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3.01(n)(iii)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 Rights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3.01(o)</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Insured Property Rights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3.01(p)(i)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Law Non-Compliance</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3.01(p)(iii)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Permits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3.01(p)(iv)</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 of Hazardous Substances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3.01(q)(i)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3.01(q)(ii)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Noncompliance</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3.01(r)</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Affiliate Transactions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3.01(s)(i)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3.01(t)</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3.01(v)</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Changes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3.01(w)</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Accounts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3.01(y)</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Support Obligations</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5.04(b)</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rFonts w:ascii="Times New Roman;Times;Serif" w:hAnsi="Times New Roman;Times;Serif"/>
          <w:sz w:val="20"/>
          <w:bdr w:val="single" w:sz="8" w:space="1" w:color="000000"/>
        </w:rPr>
        <w:t>iii</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Purchaser Disclosure Schedules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400"/>
        <w:gridCol w:w="1700"/>
      </w:tblGrid>
      <w:tr>
        <w:trPr/>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3.02(c)</w:t>
            </w:r>
          </w:p>
        </w:tc>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Consents</w:t>
            </w:r>
          </w:p>
        </w:tc>
      </w:tr>
      <w:tr>
        <w:trPr/>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3.02(e)</w:t>
            </w:r>
          </w:p>
        </w:tc>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Permits</w:t>
            </w:r>
          </w:p>
        </w:tc>
      </w:tr>
      <w:tr>
        <w:trPr/>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3.02(h)</w:t>
            </w:r>
          </w:p>
        </w:tc>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w:t>
            </w:r>
          </w:p>
        </w:tc>
      </w:tr>
      <w:tr>
        <w:trPr/>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3.02(i)</w:t>
            </w:r>
          </w:p>
        </w:tc>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Approvals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rFonts w:ascii="Times New Roman;Times;Serif" w:hAnsi="Times New Roman;Times;Serif"/>
          <w:sz w:val="20"/>
          <w:bdr w:val="single" w:sz="8" w:space="1" w:color="000000"/>
        </w:rPr>
        <w:t>iv</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MEMBERSHIP INTEREST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MEMBERSHIP INTEREST PURCHASE AGREEMENT (this “</w:t>
      </w:r>
      <w:r>
        <w:rPr>
          <w:rFonts w:ascii="Times New Roman;Times;Serif" w:hAnsi="Times New Roman;Times;Serif"/>
          <w:b w:val="false"/>
          <w:i/>
          <w:caps w:val="false"/>
          <w:smallCaps w:val="false"/>
          <w:sz w:val="20"/>
        </w:rPr>
        <w:t>Agreement</w:t>
      </w:r>
      <w:r>
        <w:rPr>
          <w:rFonts w:ascii="Times New Roman;Times;Serif" w:hAnsi="Times New Roman;Times;Serif"/>
          <w:b w:val="false"/>
          <w:i w:val="false"/>
          <w:caps w:val="false"/>
          <w:smallCaps w:val="false"/>
          <w:sz w:val="20"/>
        </w:rPr>
        <w:t>”), dated as of September 23, 2026 (the “</w:t>
      </w:r>
      <w:r>
        <w:rPr>
          <w:rFonts w:ascii="Times New Roman;Times;Serif" w:hAnsi="Times New Roman;Times;Serif"/>
          <w:b w:val="false"/>
          <w:i/>
          <w:caps w:val="false"/>
          <w:smallCaps w:val="false"/>
          <w:sz w:val="20"/>
        </w:rPr>
        <w:t>Execution Date</w:t>
      </w:r>
      <w:r>
        <w:rPr>
          <w:rFonts w:ascii="Times New Roman;Times;Serif" w:hAnsi="Times New Roman;Times;Serif"/>
          <w:b w:val="false"/>
          <w:i w:val="false"/>
          <w:caps w:val="false"/>
          <w:smallCaps w:val="false"/>
          <w:sz w:val="20"/>
        </w:rPr>
        <w:t>”), is entered into by and between Swan CE Seller LLC, a Delaware limited liability company (“</w:t>
      </w:r>
      <w:r>
        <w:rPr>
          <w:rFonts w:ascii="Times New Roman;Times;Serif" w:hAnsi="Times New Roman;Times;Serif"/>
          <w:b w:val="false"/>
          <w:i/>
          <w:caps w:val="false"/>
          <w:smallCaps w:val="false"/>
          <w:sz w:val="20"/>
        </w:rPr>
        <w:t>Seller</w:t>
      </w:r>
      <w:r>
        <w:rPr>
          <w:rFonts w:ascii="Times New Roman;Times;Serif" w:hAnsi="Times New Roman;Times;Serif"/>
          <w:b w:val="false"/>
          <w:i w:val="false"/>
          <w:caps w:val="false"/>
          <w:smallCaps w:val="false"/>
          <w:sz w:val="20"/>
        </w:rPr>
        <w:t>”), and Swan Purchaser LLC, a Delaware limited liability company (“</w:t>
      </w:r>
      <w:r>
        <w:rPr>
          <w:rFonts w:ascii="Times New Roman;Times;Serif" w:hAnsi="Times New Roman;Times;Serif"/>
          <w:b w:val="false"/>
          <w:i/>
          <w:caps w:val="false"/>
          <w:smallCaps w:val="false"/>
          <w:sz w:val="20"/>
        </w:rPr>
        <w:t>Purchaser</w:t>
      </w:r>
      <w:r>
        <w:rPr>
          <w:rFonts w:ascii="Times New Roman;Times;Serif" w:hAnsi="Times New Roman;Times;Serif"/>
          <w:b w:val="false"/>
          <w:i w:val="false"/>
          <w:caps w:val="false"/>
          <w:smallCaps w:val="false"/>
          <w:sz w:val="20"/>
        </w:rPr>
        <w:t>”). Purchaser and Seller are referred to, collectively, as the “</w:t>
      </w:r>
      <w:r>
        <w:rPr>
          <w:rFonts w:ascii="Times New Roman;Times;Serif" w:hAnsi="Times New Roman;Times;Serif"/>
          <w:b w:val="false"/>
          <w:i/>
          <w:caps w:val="false"/>
          <w:smallCaps w:val="false"/>
          <w:sz w:val="20"/>
        </w:rPr>
        <w:t>Parties</w:t>
      </w:r>
      <w:r>
        <w:rPr>
          <w:rFonts w:ascii="Times New Roman;Times;Serif" w:hAnsi="Times New Roman;Times;Serif"/>
          <w:b w:val="false"/>
          <w:i w:val="false"/>
          <w:caps w:val="false"/>
          <w:smallCaps w:val="false"/>
          <w:sz w:val="20"/>
        </w:rPr>
        <w:t>” and each, individually, as a “</w:t>
      </w:r>
      <w:r>
        <w:rPr>
          <w:rFonts w:ascii="Times New Roman;Times;Serif" w:hAnsi="Times New Roman;Times;Serif"/>
          <w:b w:val="false"/>
          <w:i/>
          <w:caps w:val="false"/>
          <w:smallCaps w:val="false"/>
          <w:sz w:val="20"/>
        </w:rPr>
        <w:t>Party</w:t>
      </w:r>
      <w:r>
        <w:rPr>
          <w:rFonts w:ascii="Times New Roman;Times;Serif" w:hAnsi="Times New Roman;Times;Serif"/>
          <w:b w:val="false"/>
          <w:i w:val="false"/>
          <w:caps w:val="false"/>
          <w:smallCaps w:val="false"/>
          <w:sz w:val="20"/>
        </w:rPr>
        <w:t xml:space="preserve">.” Capitalized terms not otherwise defined herein shall have the meaning given them in </w:t>
      </w:r>
      <w:r>
        <w:rPr>
          <w:rFonts w:ascii="Times New Roman;Times;Serif" w:hAnsi="Times New Roman;Times;Serif"/>
          <w:b w:val="false"/>
          <w:i/>
          <w:caps w:val="false"/>
          <w:smallCaps w:val="false"/>
          <w:sz w:val="20"/>
        </w:rPr>
        <w:t>Section 1.01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Swan Project Holdco LLC, a Delaware limited liability company (“</w:t>
      </w:r>
      <w:r>
        <w:rPr>
          <w:rFonts w:ascii="Times New Roman;Times;Serif" w:hAnsi="Times New Roman;Times;Serif"/>
          <w:b w:val="false"/>
          <w:i/>
          <w:caps w:val="false"/>
          <w:smallCaps w:val="false"/>
          <w:sz w:val="20"/>
        </w:rPr>
        <w:t>Project HoldCo</w:t>
      </w:r>
      <w:r>
        <w:rPr>
          <w:rFonts w:ascii="Times New Roman;Times;Serif" w:hAnsi="Times New Roman;Times;Serif"/>
          <w:b w:val="false"/>
          <w:i w:val="false"/>
          <w:caps w:val="false"/>
          <w:smallCaps w:val="false"/>
          <w:sz w:val="20"/>
        </w:rPr>
        <w:t>”), directly owns one hundred percent (100%) of the limited liability company membership interests in Swan Pledgor LLC, a Delaware limited liability company (“</w:t>
      </w:r>
      <w:r>
        <w:rPr>
          <w:rFonts w:ascii="Times New Roman;Times;Serif" w:hAnsi="Times New Roman;Times;Serif"/>
          <w:b w:val="false"/>
          <w:i/>
          <w:caps w:val="false"/>
          <w:smallCaps w:val="false"/>
          <w:sz w:val="20"/>
        </w:rPr>
        <w:t>Pledgor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Pledgor Company directly owns one hundred percent (100%) of the limited liability company membership interests in Swan Solar LLC, a Delaware limited liability company (the “</w:t>
      </w:r>
      <w:r>
        <w:rPr>
          <w:rFonts w:ascii="Times New Roman;Times;Serif" w:hAnsi="Times New Roman;Times;Serif"/>
          <w:b w:val="false"/>
          <w:i/>
          <w:caps w:val="false"/>
          <w:smallCaps w:val="false"/>
          <w:sz w:val="20"/>
        </w:rPr>
        <w:t>Project Company</w:t>
      </w:r>
      <w:r>
        <w:rPr>
          <w:rFonts w:ascii="Times New Roman;Times;Serif" w:hAnsi="Times New Roman;Times;Serif"/>
          <w:b w:val="false"/>
          <w:i w:val="false"/>
          <w:caps w:val="false"/>
          <w:smallCaps w:val="false"/>
          <w:sz w:val="20"/>
        </w:rPr>
        <w:t>”), which in turn owns one hundred percent (100%) of the limited liability company membership interests in Swan Interconnection LLC, a Delaware limited liability company (“</w:t>
      </w:r>
      <w:r>
        <w:rPr>
          <w:rFonts w:ascii="Times New Roman;Times;Serif" w:hAnsi="Times New Roman;Times;Serif"/>
          <w:b w:val="false"/>
          <w:i/>
          <w:caps w:val="false"/>
          <w:smallCaps w:val="false"/>
          <w:sz w:val="20"/>
        </w:rPr>
        <w:t>Interconnection SPV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Project Company is developing a solar photovoltaic generating facility, with an approximate installed capacity of 650 MWac, in Bates County, Missouri (the “</w:t>
      </w:r>
      <w:r>
        <w:rPr>
          <w:rFonts w:ascii="Times New Roman;Times;Serif" w:hAnsi="Times New Roman;Times;Serif"/>
          <w:b w:val="false"/>
          <w:i/>
          <w:caps w:val="false"/>
          <w:smallCaps w:val="false"/>
          <w:sz w:val="20"/>
        </w:rPr>
        <w:t>Project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Seller directly owns one hundred percent (100%) of the limited liability company membership interests in Swan TargetCo LLC, a Delaware limited liability company (the “</w:t>
      </w:r>
      <w:r>
        <w:rPr>
          <w:rFonts w:ascii="Times New Roman;Times;Serif" w:hAnsi="Times New Roman;Times;Serif"/>
          <w:b w:val="false"/>
          <w:i/>
          <w:caps w:val="false"/>
          <w:smallCaps w:val="false"/>
          <w:sz w:val="20"/>
        </w:rPr>
        <w:t>Target Company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Target Company directly owns one hundred percent (100%) of the limited liability company membership interests in Swan Class B LLC, a Delaware limited liability company (the “</w:t>
      </w:r>
      <w:r>
        <w:rPr>
          <w:rFonts w:ascii="Times New Roman;Times;Serif" w:hAnsi="Times New Roman;Times;Serif"/>
          <w:b w:val="false"/>
          <w:i/>
          <w:caps w:val="false"/>
          <w:smallCaps w:val="false"/>
          <w:sz w:val="20"/>
        </w:rPr>
        <w:t>Class B HoldCo</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until the Tax Equity Investor (as defined below) makes its initial investment in Swan TE HoldCo LLC, a Delaware limited liability company (“</w:t>
      </w:r>
      <w:r>
        <w:rPr>
          <w:rFonts w:ascii="Times New Roman;Times;Serif" w:hAnsi="Times New Roman;Times;Serif"/>
          <w:b w:val="false"/>
          <w:i/>
          <w:caps w:val="false"/>
          <w:smallCaps w:val="false"/>
          <w:sz w:val="20"/>
        </w:rPr>
        <w:t>TE HoldCo</w:t>
      </w:r>
      <w:r>
        <w:rPr>
          <w:rFonts w:ascii="Times New Roman;Times;Serif" w:hAnsi="Times New Roman;Times;Serif"/>
          <w:b w:val="false"/>
          <w:i w:val="false"/>
          <w:caps w:val="false"/>
          <w:smallCaps w:val="false"/>
          <w:sz w:val="20"/>
        </w:rPr>
        <w:t>” and, together with Target Company, Class B HoldCo, Pledgor Company, the Project Company and the Interconnection SPV, the “</w:t>
      </w:r>
      <w:r>
        <w:rPr>
          <w:rFonts w:ascii="Times New Roman;Times;Serif" w:hAnsi="Times New Roman;Times;Serif"/>
          <w:b w:val="false"/>
          <w:i/>
          <w:caps w:val="false"/>
          <w:smallCaps w:val="false"/>
          <w:sz w:val="20"/>
        </w:rPr>
        <w:t>Acquired Companies</w:t>
      </w:r>
      <w:r>
        <w:rPr>
          <w:rFonts w:ascii="Times New Roman;Times;Serif" w:hAnsi="Times New Roman;Times;Serif"/>
          <w:b w:val="false"/>
          <w:i w:val="false"/>
          <w:caps w:val="false"/>
          <w:smallCaps w:val="false"/>
          <w:sz w:val="20"/>
        </w:rPr>
        <w:t>”), in accordance with the Tax Equity Agreements (as defined below), Class B HoldCo will own one hundred percent (100%) of the limited liability company membership interests in TE HoldCo;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prior to the Closing (as defined below), consistent with the provisions of the Tax Equity Agreements (as defined below),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Class B HoldCo will make a contribution to, and the Tax Equity Investor will make its initial investment in, TE HoldCo in accordance with the Tax Equity Agreements,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limited liability company membership interests in TE HoldCo will be divided into Class A membership interests and Class B membership interests, with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one hundred percent (100%) of the Class A membership interests in TE HoldCo to be issued, directly or indirectly, to the Tax Equity Investor,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portion of the limited liability company membership interests in TE HoldCo retained by Class B HoldCo to be converted into one hundred percent (100%) of the Class B membership interests in TE HoldCo,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pursuant to the TE HoldCo MIPA (as defined below), TE HoldCo will acquire one hundred percent (100%) of the limited liability company membership interests in the Pledgor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immediately subsequent to the consummation of the transactions described in the immediately preceding recital, TE HoldCo will own, directly or indirectly, all the limited liability company membership interests in the Pledgor Company and the Project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at the Closing, and subsequent to the Tax Equity Investor making its initial investment in TE HoldCo, Seller desires to sell, and Purchaser desires to purchase, nine hundred and ninety-nine (999) units, which represent a portion of the limited liability company membership interests in the Target Company (the “</w:t>
      </w:r>
      <w:r>
        <w:rPr>
          <w:rFonts w:ascii="Times New Roman;Times;Serif" w:hAnsi="Times New Roman;Times;Serif"/>
          <w:b w:val="false"/>
          <w:i/>
          <w:caps w:val="false"/>
          <w:smallCaps w:val="false"/>
          <w:sz w:val="20"/>
        </w:rPr>
        <w:t>Acquired Interests</w:t>
      </w:r>
      <w:r>
        <w:rPr>
          <w:rFonts w:ascii="Times New Roman;Times;Serif" w:hAnsi="Times New Roman;Times;Serif"/>
          <w:b w:val="false"/>
          <w:i w:val="false"/>
          <w:caps w:val="false"/>
          <w:smallCaps w:val="false"/>
          <w:sz w:val="20"/>
        </w:rPr>
        <w:t>”), which shall be converted into one hundred percent (100%) of the Class A limited liability company membership interests in the Target Company, on the terms and subject to the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immediately following Purchaser’s acquisition of the Acquired Interests,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Seller will distribute (the “</w:t>
      </w:r>
      <w:r>
        <w:rPr>
          <w:rFonts w:ascii="Times New Roman;Times;Serif" w:hAnsi="Times New Roman;Times;Serif"/>
          <w:b w:val="false"/>
          <w:i/>
          <w:caps w:val="false"/>
          <w:smallCaps w:val="false"/>
          <w:sz w:val="20"/>
        </w:rPr>
        <w:t>Seller Distribution</w:t>
      </w:r>
      <w:r>
        <w:rPr>
          <w:rFonts w:ascii="Times New Roman;Times;Serif" w:hAnsi="Times New Roman;Times;Serif"/>
          <w:b w:val="false"/>
          <w:i w:val="false"/>
          <w:caps w:val="false"/>
          <w:smallCaps w:val="false"/>
          <w:sz w:val="20"/>
        </w:rPr>
        <w:t>”) to Clearway Renew LLC, a Delaware limited liability company (“</w:t>
      </w:r>
      <w:r>
        <w:rPr>
          <w:rFonts w:ascii="Times New Roman;Times;Serif" w:hAnsi="Times New Roman;Times;Serif"/>
          <w:b w:val="false"/>
          <w:i/>
          <w:caps w:val="false"/>
          <w:smallCaps w:val="false"/>
          <w:sz w:val="20"/>
        </w:rPr>
        <w:t>Seller Parent</w:t>
      </w:r>
      <w:r>
        <w:rPr>
          <w:rFonts w:ascii="Times New Roman;Times;Serif" w:hAnsi="Times New Roman;Times;Serif"/>
          <w:b w:val="false"/>
          <w:i w:val="false"/>
          <w:caps w:val="false"/>
          <w:smallCaps w:val="false"/>
          <w:sz w:val="20"/>
        </w:rPr>
        <w:t>”), the remaining one (1) unit, which represents the remaining portion of the limited liability company membership interests in the Target Company owned by Seller (the “</w:t>
      </w:r>
      <w:r>
        <w:rPr>
          <w:rFonts w:ascii="Times New Roman;Times;Serif" w:hAnsi="Times New Roman;Times;Serif"/>
          <w:b w:val="false"/>
          <w:i/>
          <w:caps w:val="false"/>
          <w:smallCaps w:val="false"/>
          <w:sz w:val="20"/>
        </w:rPr>
        <w:t>Retained Interest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such Retained Interest shall be converted into one hundred percent (100%) of the Class C limited liability company membership interests in the Target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A&amp;R LLCA, upon the consummation of the Closing,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Acquired Interests shall be designated the “Class A Membership Interest”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Retained Interest shall be designated the “Class C Membership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premises and the respective representations, warranties, covenants and agreements set forth herein, and for other good and valuable consideration, the receipt and sufficiency of which are hereby acknowledged, and intending to be legally bound hereby,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t>DEFINITIONS AND RULES OF INTERPRETATION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w:t>
      </w:r>
      <w:r>
        <w:rPr>
          <w:rFonts w:ascii="Times New Roman;Times;Serif" w:hAnsi="Times New Roman;Times;Serif"/>
          <w:b/>
          <w:i/>
          <w:caps w:val="false"/>
          <w:smallCaps w:val="false"/>
          <w:sz w:val="20"/>
        </w:rPr>
        <w:t>Definitions</w:t>
      </w:r>
      <w:r>
        <w:rPr>
          <w:rFonts w:ascii="Times New Roman;Times;Serif" w:hAnsi="Times New Roman;Times;Serif"/>
          <w:b w:val="false"/>
          <w:i w:val="false"/>
          <w:caps w:val="false"/>
          <w:smallCaps w:val="false"/>
          <w:sz w:val="20"/>
        </w:rPr>
        <w:t>. As used in this Agreement, the following defined terms have the meanings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A&amp;R LLCA</w:t>
      </w:r>
      <w:r>
        <w:rPr>
          <w:rFonts w:ascii="Times New Roman;Times;Serif" w:hAnsi="Times New Roman;Times;Serif"/>
          <w:b w:val="false"/>
          <w:i w:val="false"/>
          <w:caps w:val="false"/>
          <w:smallCaps w:val="false"/>
          <w:sz w:val="20"/>
        </w:rPr>
        <w:t xml:space="preserve">” means that certain Amended and Restated Limited Liability Company Agreement of the Target Company, substantially in the form attached hereto as </w:t>
      </w:r>
      <w:r>
        <w:rPr>
          <w:rFonts w:ascii="Times New Roman;Times;Serif" w:hAnsi="Times New Roman;Times;Serif"/>
          <w:b w:val="false"/>
          <w:i/>
          <w:caps w:val="false"/>
          <w:smallCaps w:val="false"/>
          <w:sz w:val="20"/>
        </w:rPr>
        <w:t>Exhibit H</w:t>
      </w:r>
      <w:r>
        <w:rPr>
          <w:rFonts w:ascii="Times New Roman;Times;Serif" w:hAnsi="Times New Roman;Times;Serif"/>
          <w:b w:val="false"/>
          <w:i w:val="false"/>
          <w:caps w:val="false"/>
          <w:smallCaps w:val="false"/>
          <w:sz w:val="20"/>
        </w:rPr>
        <w:t xml:space="preserve"> (and, with respect to any portion of </w:t>
      </w:r>
      <w:r>
        <w:rPr>
          <w:rFonts w:ascii="Times New Roman;Times;Serif" w:hAnsi="Times New Roman;Times;Serif"/>
          <w:b w:val="false"/>
          <w:i/>
          <w:caps w:val="false"/>
          <w:smallCaps w:val="false"/>
          <w:sz w:val="20"/>
        </w:rPr>
        <w:t>Exhibit H</w:t>
      </w:r>
      <w:r>
        <w:rPr>
          <w:rFonts w:ascii="Times New Roman;Times;Serif" w:hAnsi="Times New Roman;Times;Serif"/>
          <w:b w:val="false"/>
          <w:i w:val="false"/>
          <w:caps w:val="false"/>
          <w:smallCaps w:val="false"/>
          <w:sz w:val="20"/>
        </w:rPr>
        <w:t xml:space="preserve"> subject to finalization during the Interim Period, with such supplements or modifications thereto as may be mutually agreed by the Parties, each acting reasonably and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Acquired Companies</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Acquired Interests</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Acquisition Proposal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Action or Proceeding</w:t>
      </w:r>
      <w:r>
        <w:rPr>
          <w:rFonts w:ascii="Times New Roman;Times;Serif" w:hAnsi="Times New Roman;Times;Serif"/>
          <w:b w:val="false"/>
          <w:i w:val="false"/>
          <w:caps w:val="false"/>
          <w:smallCaps w:val="false"/>
          <w:sz w:val="20"/>
        </w:rPr>
        <w:t>” means any action, suit, proceeding, arbitration or investigation by or before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Adjusted Purchase Price</w:t>
      </w:r>
      <w:r>
        <w:rPr>
          <w:rFonts w:ascii="Times New Roman;Times;Serif" w:hAnsi="Times New Roman;Times;Serif"/>
          <w:b w:val="false"/>
          <w:i w:val="false"/>
          <w:caps w:val="false"/>
          <w:smallCaps w:val="false"/>
          <w:sz w:val="20"/>
        </w:rPr>
        <w:t>” means the Purchase Price necessary to achieve at least the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Minimum NPV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Minimum Average 5-Year CAFD Yield, inclusive of any Transaction Expenses, calculated in accordance with the Adjusted Purchase Price Model. Notwithstanding the foregoing, the Adjusted Purchase Price shall be no greater than [***] of the Base Price;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 cap shall not apply to any increase in the Purchase Price attributable to (</w:t>
      </w:r>
      <w:r>
        <w:rPr>
          <w:rFonts w:ascii="Times New Roman;Times;Serif" w:hAnsi="Times New Roman;Times;Serif"/>
          <w:b w:val="false"/>
          <w:i/>
          <w:caps w:val="false"/>
          <w:smallCaps w:val="false"/>
          <w:sz w:val="20"/>
        </w:rPr>
        <w:t>x</w:t>
      </w:r>
      <w:r>
        <w:rPr>
          <w:rFonts w:ascii="Times New Roman;Times;Serif" w:hAnsi="Times New Roman;Times;Serif"/>
          <w:b w:val="false"/>
          <w:i w:val="false"/>
          <w:caps w:val="false"/>
          <w:smallCaps w:val="false"/>
          <w:sz w:val="20"/>
        </w:rPr>
        <w:t>) the sale of capacity attributes associated with the Project, or (</w:t>
      </w:r>
      <w:r>
        <w:rPr>
          <w:rFonts w:ascii="Times New Roman;Times;Serif" w:hAnsi="Times New Roman;Times;Serif"/>
          <w:b w:val="false"/>
          <w:i/>
          <w:caps w:val="false"/>
          <w:smallCaps w:val="false"/>
          <w:sz w:val="20"/>
        </w:rPr>
        <w:t>y</w:t>
      </w:r>
      <w:r>
        <w:rPr>
          <w:rFonts w:ascii="Times New Roman;Times;Serif" w:hAnsi="Times New Roman;Times;Serif"/>
          <w:b w:val="false"/>
          <w:i w:val="false"/>
          <w:caps w:val="false"/>
          <w:smallCaps w:val="false"/>
          <w:sz w:val="20"/>
        </w:rPr>
        <w:t>) any increase in the sizing of the Project associated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Adjusted Purchase Price Amount</w:t>
      </w:r>
      <w:r>
        <w:rPr>
          <w:rFonts w:ascii="Times New Roman;Times;Serif" w:hAnsi="Times New Roman;Times;Serif"/>
          <w:b w:val="false"/>
          <w:i w:val="false"/>
          <w:caps w:val="false"/>
          <w:smallCaps w:val="false"/>
          <w:sz w:val="20"/>
        </w:rPr>
        <w:t xml:space="preserve">” means the Adjusted Purchase Price </w:t>
      </w:r>
      <w:r>
        <w:rPr>
          <w:rFonts w:ascii="Times New Roman;Times;Serif" w:hAnsi="Times New Roman;Times;Serif"/>
          <w:b w:val="false"/>
          <w:i/>
          <w:caps w:val="false"/>
          <w:smallCaps w:val="false"/>
          <w:sz w:val="20"/>
        </w:rPr>
        <w:t xml:space="preserve">less </w:t>
      </w:r>
      <w:r>
        <w:rPr>
          <w:rFonts w:ascii="Times New Roman;Times;Serif" w:hAnsi="Times New Roman;Times;Serif"/>
          <w:b w:val="false"/>
          <w:i w:val="false"/>
          <w:caps w:val="false"/>
          <w:smallCaps w:val="false"/>
          <w:sz w:val="20"/>
        </w:rPr>
        <w:t>the Base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Adjusted Purchase Price Model</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Administrative Agent</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of a specified Person means any other Person that directly or indirectly through one or more intermediaries Controls, is Controlled by or is under common Control with the Person specified. For the purposes of this Agreement,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CEG, Seller and the direct or indirect subsidiaries of each (other than Clearway Energy Inc., and its direct or indirect subsidiaries), on the one hand,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Clearway Energy Inc., Clearway Energy LLC, Purchaser Parent, Purchaser and the direct or indirect subsidiaries of each, on the other hand, shall not be considered “Affiliates,”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with respect to Purchaser, “Affiliates” shall be limited to Clearway Energy Inc. and its subsidiaries,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with respect to Seller, “Affiliates” shall be limited to Clearway Energy Group LLC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Aggregate Cap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Agreement</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Allocation Schedule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Ancillary Documents</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Assignment of Membership Interests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the respective certificates to be executed and delivered at the Closing by Purchaser pursuant to </w:t>
      </w:r>
      <w:r>
        <w:rPr>
          <w:rFonts w:ascii="Times New Roman;Times;Serif" w:hAnsi="Times New Roman;Times;Serif"/>
          <w:b w:val="false"/>
          <w:i/>
          <w:caps w:val="false"/>
          <w:smallCaps w:val="false"/>
          <w:sz w:val="20"/>
        </w:rPr>
        <w:t>Section 4.03(c) </w:t>
      </w:r>
      <w:r>
        <w:rPr>
          <w:rFonts w:ascii="Times New Roman;Times;Serif" w:hAnsi="Times New Roman;Times;Serif"/>
          <w:b w:val="false"/>
          <w:i w:val="false"/>
          <w:caps w:val="false"/>
          <w:smallCaps w:val="false"/>
          <w:sz w:val="20"/>
        </w:rPr>
        <w:t xml:space="preserve">or by Seller pursuant to </w:t>
      </w:r>
      <w:r>
        <w:rPr>
          <w:rFonts w:ascii="Times New Roman;Times;Serif" w:hAnsi="Times New Roman;Times;Serif"/>
          <w:b w:val="false"/>
          <w:i/>
          <w:caps w:val="false"/>
          <w:smallCaps w:val="false"/>
          <w:sz w:val="20"/>
        </w:rPr>
        <w:t>Section 4.02(d)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Apportioned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Assignment of Membership Interests</w:t>
      </w:r>
      <w:r>
        <w:rPr>
          <w:rFonts w:ascii="Times New Roman;Times;Serif" w:hAnsi="Times New Roman;Times;Serif"/>
          <w:b w:val="false"/>
          <w:i w:val="false"/>
          <w:caps w:val="false"/>
          <w:smallCaps w:val="false"/>
          <w:sz w:val="20"/>
        </w:rPr>
        <w:t xml:space="preserve">” means the Assignment and Assumption Agreement, in substantially the form of </w:t>
      </w:r>
      <w:r>
        <w:rPr>
          <w:rFonts w:ascii="Times New Roman;Times;Serif" w:hAnsi="Times New Roman;Times;Serif"/>
          <w:b w:val="false"/>
          <w:i/>
          <w:caps w:val="false"/>
          <w:smallCaps w:val="false"/>
          <w:sz w:val="20"/>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Average 5-Year CAFD Yield</w:t>
      </w:r>
      <w:r>
        <w:rPr>
          <w:rFonts w:ascii="Times New Roman;Times;Serif" w:hAnsi="Times New Roman;Times;Serif"/>
          <w:b w:val="false"/>
          <w:i w:val="false"/>
          <w:caps w:val="false"/>
          <w:smallCaps w:val="false"/>
          <w:sz w:val="20"/>
        </w:rPr>
        <w:t>” means the average annual CAFD Yield for the first five (5) calendar year period following commencement of full Project operations, calculated in accordance with the Base Case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Balance Sheets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3.01(u)</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Balance Sheets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3.01(u)</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Base Case Model</w:t>
      </w:r>
      <w:r>
        <w:rPr>
          <w:rFonts w:ascii="Times New Roman;Times;Serif" w:hAnsi="Times New Roman;Times;Serif"/>
          <w:b w:val="false"/>
          <w:i w:val="false"/>
          <w:caps w:val="false"/>
          <w:smallCaps w:val="false"/>
          <w:sz w:val="20"/>
        </w:rPr>
        <w:t>” means the financial projections with respect to the Project Company in file “Swan Solar_CWEN Model_9.4.2026.xlsm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BESS Project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means a day other than Saturday, Sunday or any day on which banks located in the State of New York are authorized or obligated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CAFD</w:t>
      </w:r>
      <w:r>
        <w:rPr>
          <w:rFonts w:ascii="Times New Roman;Times;Serif" w:hAnsi="Times New Roman;Times;Serif"/>
          <w:b w:val="false"/>
          <w:i w:val="false"/>
          <w:caps w:val="false"/>
          <w:smallCaps w:val="false"/>
          <w:sz w:val="20"/>
        </w:rPr>
        <w:t>” means the projected net pre-tax cash flows generated by the Project that are available for distribution to the Purchaser, calculated in accordance with the Base Case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CAFD Yield</w:t>
      </w:r>
      <w:r>
        <w:rPr>
          <w:rFonts w:ascii="Times New Roman;Times;Serif" w:hAnsi="Times New Roman;Times;Serif"/>
          <w:b w:val="false"/>
          <w:i w:val="false"/>
          <w:caps w:val="false"/>
          <w:smallCaps w:val="false"/>
          <w:sz w:val="20"/>
        </w:rPr>
        <w:t>” means the ratio, expressed as a percentage, of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the Project’s projected CAFD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Purchase Price, calculated in accordance with the Base Case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Cap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CEG</w:t>
      </w:r>
      <w:r>
        <w:rPr>
          <w:rFonts w:ascii="Times New Roman;Times;Serif" w:hAnsi="Times New Roman;Times;Serif"/>
          <w:b w:val="false"/>
          <w:i w:val="false"/>
          <w:caps w:val="false"/>
          <w:smallCaps w:val="false"/>
          <w:sz w:val="20"/>
        </w:rPr>
        <w:t>” means Clearway Energy Group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B HoldCo</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 Endorsement</w:t>
      </w:r>
      <w:r>
        <w:rPr>
          <w:rFonts w:ascii="Times New Roman;Times;Serif" w:hAnsi="Times New Roman;Times;Serif"/>
          <w:b w:val="false"/>
          <w:i w:val="false"/>
          <w:caps w:val="false"/>
          <w:smallCaps w:val="false"/>
          <w:sz w:val="20"/>
        </w:rPr>
        <w:t>” means (a) a date down endorsement to the Title Policy and (b) an ALTA 15.1 endorsement naming the Purchaser as an additional insured.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 Schedule Supplement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Code</w:t>
      </w:r>
      <w:r>
        <w:rPr>
          <w:rFonts w:ascii="Times New Roman;Times;Serif" w:hAnsi="Times New Roman;Times;Serif"/>
          <w:b w:val="false"/>
          <w:i w:val="false"/>
          <w:caps w:val="false"/>
          <w:smallCaps w:val="false"/>
          <w:sz w:val="20"/>
        </w:rPr>
        <w:t>” means the Internal Revenue Code of 1986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 Contracts</w:t>
      </w:r>
      <w:r>
        <w:rPr>
          <w:rFonts w:ascii="Times New Roman;Times;Serif" w:hAnsi="Times New Roman;Times;Serif"/>
          <w:b w:val="false"/>
          <w:i w:val="false"/>
          <w:caps w:val="false"/>
          <w:smallCaps w:val="false"/>
          <w:sz w:val="20"/>
        </w:rPr>
        <w:t>” means all material Contracts to which any Acquired Company is a party or by which any Acquired Company or any of its assets or properties are bound, including: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all Contracts for the purchase, exchange or sale of electric power, capacity, ancillary services or Environmental Attributes;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all Contracts for the transmission of electric power;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all interconnection Contracts for electricity;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all Contracts with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Seller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of its Affiliates (other than any other Acquired Company); and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all Contracts relating to the Acquired Interests or membership interests in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Consequential Damages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8.15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Constitutive Documents</w:t>
      </w:r>
      <w:r>
        <w:rPr>
          <w:rFonts w:ascii="Times New Roman;Times;Serif" w:hAnsi="Times New Roman;Times;Serif"/>
          <w:b w:val="false"/>
          <w:i w:val="false"/>
          <w:caps w:val="false"/>
          <w:smallCaps w:val="false"/>
          <w:sz w:val="20"/>
        </w:rPr>
        <w:t>” means the certificate of formation and the limited liability company agreement or partnership agreement of a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Contract</w:t>
      </w:r>
      <w:r>
        <w:rPr>
          <w:rFonts w:ascii="Times New Roman;Times;Serif" w:hAnsi="Times New Roman;Times;Serif"/>
          <w:b w:val="false"/>
          <w:i w:val="false"/>
          <w:caps w:val="false"/>
          <w:smallCaps w:val="false"/>
          <w:sz w:val="20"/>
        </w:rPr>
        <w:t>” means any agreement, purchase order, commitment, evidence of Indebtedness, mortgage, indenture, security agreement or other contract entered into by a Person or by which a Person or any of its assets are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Control</w:t>
      </w:r>
      <w:r>
        <w:rPr>
          <w:rFonts w:ascii="Times New Roman;Times;Serif" w:hAnsi="Times New Roman;Times;Serif"/>
          <w:b w:val="false"/>
          <w:i w:val="false"/>
          <w:caps w:val="false"/>
          <w:smallCaps w:val="false"/>
          <w:sz w:val="20"/>
        </w:rPr>
        <w:t>” of a Person means the power, directly or indirectly, to direct or cause the direction of the management or policies of such Person (whether through ownership of securities or partnership or other ownership interests,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Deductible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Delay Damages</w:t>
      </w:r>
      <w:r>
        <w:rPr>
          <w:rFonts w:ascii="Times New Roman;Times;Serif" w:hAnsi="Times New Roman;Times;Serif"/>
          <w:b w:val="false"/>
          <w:i w:val="false"/>
          <w:caps w:val="false"/>
          <w:smallCaps w:val="false"/>
          <w:sz w:val="20"/>
        </w:rPr>
        <w:t>” means any “Delay Liquidated Damages” (as defined in the PPA) payable by the Project Company pursuant to Section 3.4.4 of the PPA.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Disclosure Schedules</w:t>
      </w:r>
      <w:r>
        <w:rPr>
          <w:rFonts w:ascii="Times New Roman;Times;Serif" w:hAnsi="Times New Roman;Times;Serif"/>
          <w:b w:val="false"/>
          <w:i w:val="false"/>
          <w:caps w:val="false"/>
          <w:smallCaps w:val="false"/>
          <w:sz w:val="20"/>
        </w:rPr>
        <w:t>” means the schedules to Seller’s and Purchaser’s representations and warranties of even date herewith delivered in connection with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Discount Rate</w:t>
      </w:r>
      <w:r>
        <w:rPr>
          <w:rFonts w:ascii="Times New Roman;Times;Serif" w:hAnsi="Times New Roman;Times;Serif"/>
          <w:b w:val="false"/>
          <w:i w:val="false"/>
          <w:caps w:val="false"/>
          <w:smallCaps w:val="false"/>
          <w:sz w:val="20"/>
        </w:rPr>
        <w:t>” means [***], which is inclusive of a [***] adder, and shall be used to determine the Net Present Value, as set forth in the Base Case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Employee Plan</w:t>
      </w:r>
      <w:r>
        <w:rPr>
          <w:rFonts w:ascii="Times New Roman;Times;Serif" w:hAnsi="Times New Roman;Times;Serif"/>
          <w:b w:val="false"/>
          <w:i w:val="false"/>
          <w:caps w:val="false"/>
          <w:smallCaps w:val="false"/>
          <w:sz w:val="20"/>
        </w:rPr>
        <w:t>” means any “employee benefit plan,” as such term is defined in Section 3(3) of ERISA, that is (or when in effect was) subject to any provision of ERISA, including Title IV of ERISA, and is or was sponsored, maintained or contributed to by Seller, any Acquired Company or any ERISA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Environmental Attributes</w:t>
      </w:r>
      <w:r>
        <w:rPr>
          <w:rFonts w:ascii="Times New Roman;Times;Serif" w:hAnsi="Times New Roman;Times;Serif"/>
          <w:b w:val="false"/>
          <w:i w:val="false"/>
          <w:caps w:val="false"/>
          <w:smallCaps w:val="false"/>
          <w:sz w:val="20"/>
        </w:rPr>
        <w:t>” means all environmental air quality credits, green credits, carbon credits, emissions reduction credits, certificates, tags, offsets, allowances or similar products or rights, howsoever entitled: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resulting from the avoidance of the emission of any gas, chemical or other substance, including mercury, nitrogen oxide, sulfur dioxide, carbon dioxide, carbon monoxide, particulate matter or similar pollutants or contaminants of air, water or soil, gas, chemical or other substance;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attributable to the generation, purchase, sale or use of renewable energy generated or use of renewable generation technologies by the Project, or otherwise attributable to the Project, including any renewable energy credits (“</w:t>
      </w:r>
      <w:r>
        <w:rPr>
          <w:rFonts w:ascii="Times New Roman;Times;Serif" w:hAnsi="Times New Roman;Times;Serif"/>
          <w:b w:val="false"/>
          <w:i/>
          <w:caps w:val="false"/>
          <w:smallCaps w:val="false"/>
          <w:sz w:val="20"/>
        </w:rPr>
        <w:t>RECs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Environmental Laws</w:t>
      </w:r>
      <w:r>
        <w:rPr>
          <w:rFonts w:ascii="Times New Roman;Times;Serif" w:hAnsi="Times New Roman;Times;Serif"/>
          <w:b w:val="false"/>
          <w:i w:val="false"/>
          <w:caps w:val="false"/>
          <w:smallCaps w:val="false"/>
          <w:sz w:val="20"/>
        </w:rPr>
        <w:t>” means all applicable Laws relating to the environment, or the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the Clean Air Act, the Federal Water Pollution Control Act (including the Clean Water Act and the Oil Pollution Act), the Safe Drinking Water Act, the Federal Solid Waste Disposal Act (including the Resource Conservation and Recovery Act of 1976), the Comprehensive Environmental Response, Compensation, and Liability Act, the Toxic Substances Control Act, the Federal Insecticide, Fungicide and Rodenticide Act, the Emergency Planning and Community Right-to-Know Act, the Occupational Safety and Health Act (to the extent relating to human exposure to Hazardous Substances) and any other federal, state or local Laws now or hereafter existing relating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EPC Contract</w:t>
      </w:r>
      <w:r>
        <w:rPr>
          <w:rFonts w:ascii="Times New Roman;Times;Serif" w:hAnsi="Times New Roman;Times;Serif"/>
          <w:b w:val="false"/>
          <w:i w:val="false"/>
          <w:caps w:val="false"/>
          <w:smallCaps w:val="false"/>
          <w:sz w:val="20"/>
        </w:rPr>
        <w:t>” means that certain Engineering, Procurement and Construction Agreement, dated as of August 27, 2026, by and between the Project Company and Blattner Energy, LLC, a Minnesota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Equity Capital Contribution Account</w:t>
      </w:r>
      <w:r>
        <w:rPr>
          <w:rFonts w:ascii="Times New Roman;Times;Serif" w:hAnsi="Times New Roman;Times;Serif"/>
          <w:b w:val="false"/>
          <w:i w:val="false"/>
          <w:caps w:val="false"/>
          <w:smallCaps w:val="false"/>
          <w:sz w:val="20"/>
        </w:rPr>
        <w:t>” means the “Equity Capital Contribution Account” (as defined in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ERISA</w:t>
      </w:r>
      <w:r>
        <w:rPr>
          <w:rFonts w:ascii="Times New Roman;Times;Serif" w:hAnsi="Times New Roman;Times;Serif"/>
          <w:b w:val="false"/>
          <w:i w:val="false"/>
          <w:caps w:val="false"/>
          <w:smallCaps w:val="false"/>
          <w:sz w:val="20"/>
        </w:rPr>
        <w:t>” means the U.S. Employee Retirement Income Security Act of 1974,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ERISA Affiliate</w:t>
      </w:r>
      <w:r>
        <w:rPr>
          <w:rFonts w:ascii="Times New Roman;Times;Serif" w:hAnsi="Times New Roman;Times;Serif"/>
          <w:b w:val="false"/>
          <w:i w:val="false"/>
          <w:caps w:val="false"/>
          <w:smallCaps w:val="false"/>
          <w:sz w:val="20"/>
        </w:rPr>
        <w:t xml:space="preserve">” means any entity, trade or business that is a member of a group described in Section 414(b), (c), (m) or (o) of the Code or Section 4001(b)(1) of ERISA that includes Seller or the Acquired Companies or that is a member of the same “controlled group” as Seller pursuant to Section 4001(a)(14) of ERISA;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Acquired Companies shall not be considered to be ERISA Affiliates from and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Execution Date</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Execution Date Proforma Title Policy</w:t>
      </w:r>
      <w:r>
        <w:rPr>
          <w:rFonts w:ascii="Times New Roman;Times;Serif" w:hAnsi="Times New Roman;Times;Serif"/>
          <w:b w:val="false"/>
          <w:i w:val="false"/>
          <w:caps w:val="false"/>
          <w:smallCaps w:val="false"/>
          <w:sz w:val="20"/>
        </w:rPr>
        <w:t>” means a pro forma title policy, dated as of approximately the date hereof, including all endorsements thereto as reasonably required by Purchaser, insuring all estates and interests of the Company in the Insured Property Rights free and clear of all Liens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Exempt Wholesale Generator</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EWG</w:t>
      </w:r>
      <w:r>
        <w:rPr>
          <w:rFonts w:ascii="Times New Roman;Times;Serif" w:hAnsi="Times New Roman;Times;Serif"/>
          <w:b w:val="false"/>
          <w:i w:val="false"/>
          <w:caps w:val="false"/>
          <w:smallCaps w:val="false"/>
          <w:sz w:val="20"/>
        </w:rPr>
        <w:t>” has the meaning given to such term in PUHCA.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FERC</w:t>
      </w:r>
      <w:r>
        <w:rPr>
          <w:rFonts w:ascii="Times New Roman;Times;Serif" w:hAnsi="Times New Roman;Times;Serif"/>
          <w:b w:val="false"/>
          <w:i w:val="false"/>
          <w:caps w:val="false"/>
          <w:smallCaps w:val="false"/>
          <w:sz w:val="20"/>
        </w:rPr>
        <w:t>” means the Federal Energy Regulatory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Financing Agreement</w:t>
      </w:r>
      <w:r>
        <w:rPr>
          <w:rFonts w:ascii="Times New Roman;Times;Serif" w:hAnsi="Times New Roman;Times;Serif"/>
          <w:b w:val="false"/>
          <w:i w:val="false"/>
          <w:caps w:val="false"/>
          <w:smallCaps w:val="false"/>
          <w:sz w:val="20"/>
        </w:rPr>
        <w:t>” means that certain Financing Agreement, dated as of the date hereof, by and among Class B HoldCo, the Project Company, the Administrative Agent, [***], as collateral agent, and the lenders and issuing banks from time to time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Financing Documents</w:t>
      </w:r>
      <w:r>
        <w:rPr>
          <w:rFonts w:ascii="Times New Roman;Times;Serif" w:hAnsi="Times New Roman;Times;Serif"/>
          <w:b w:val="false"/>
          <w:i w:val="false"/>
          <w:caps w:val="false"/>
          <w:smallCaps w:val="false"/>
          <w:sz w:val="20"/>
        </w:rPr>
        <w:t>” means the “Financing Documents” (as defined in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FPA</w:t>
      </w:r>
      <w:r>
        <w:rPr>
          <w:rFonts w:ascii="Times New Roman;Times;Serif" w:hAnsi="Times New Roman;Times;Serif"/>
          <w:b w:val="false"/>
          <w:i w:val="false"/>
          <w:caps w:val="false"/>
          <w:smallCaps w:val="false"/>
          <w:sz w:val="20"/>
        </w:rPr>
        <w:t>” means the Federal Power Act and all rules and regulations adopted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Fraudulent Action</w:t>
      </w:r>
      <w:r>
        <w:rPr>
          <w:rFonts w:ascii="Times New Roman;Times;Serif" w:hAnsi="Times New Roman;Times;Serif"/>
          <w:b w:val="false"/>
          <w:i w:val="false"/>
          <w:caps w:val="false"/>
          <w:smallCaps w:val="false"/>
          <w:sz w:val="20"/>
        </w:rPr>
        <w:t>” means, with respect to the applicable Party, any fraud, intentional breach, intentional misrepresentation (excluding negligent misrepresentation) or intentional omission by such Party or any Representative of such Party in connection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Fundamental Representations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 consistently applied throughout the relevant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Governmental Approval</w:t>
      </w:r>
      <w:r>
        <w:rPr>
          <w:rFonts w:ascii="Times New Roman;Times;Serif" w:hAnsi="Times New Roman;Times;Serif"/>
          <w:b w:val="false"/>
          <w:i w:val="false"/>
          <w:caps w:val="false"/>
          <w:smallCaps w:val="false"/>
          <w:sz w:val="20"/>
        </w:rPr>
        <w:t>” means any consent or approval required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Governmental Authority</w:t>
      </w:r>
      <w:r>
        <w:rPr>
          <w:rFonts w:ascii="Times New Roman;Times;Serif" w:hAnsi="Times New Roman;Times;Serif"/>
          <w:b w:val="false"/>
          <w:i w:val="false"/>
          <w:caps w:val="false"/>
          <w:smallCaps w:val="false"/>
          <w:sz w:val="20"/>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SPP, and MPSC, or any court or governmental tribunal.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Hazardous Substances</w:t>
      </w:r>
      <w:r>
        <w:rPr>
          <w:rFonts w:ascii="Times New Roman;Times;Serif" w:hAnsi="Times New Roman;Times;Serif"/>
          <w:b w:val="false"/>
          <w:i w:val="false"/>
          <w:caps w:val="false"/>
          <w:smallCaps w:val="false"/>
          <w:sz w:val="20"/>
        </w:rPr>
        <w:t>” means any substance, element, compound or mixture, whether solid, liquid or gaseous: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which is defined as “hazardous waste” or “hazardous substance” or “pollutant” or “contaminant” under any Environmental Law;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which is otherwise hazardous and is subject to regulation by any Governmental Authority;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petroleum hydrocarbons (other than naturally occurring petroleum hydrocarbons);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polychlorinated biphenyls (PCBs);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asbestos-containing materials (other than naturally occurring asbestos);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per or poly fluoroalkyl substances; or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radioactive materials (other than naturally occurring radioactive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Indebtedness</w:t>
      </w:r>
      <w:r>
        <w:rPr>
          <w:rFonts w:ascii="Times New Roman;Times;Serif" w:hAnsi="Times New Roman;Times;Serif"/>
          <w:b w:val="false"/>
          <w:i w:val="false"/>
          <w:caps w:val="false"/>
          <w:smallCaps w:val="false"/>
          <w:sz w:val="20"/>
        </w:rPr>
        <w:t>” means all obligations of a Person: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for borrowed money;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evidenced by notes, bonds, debentures or similar instruments;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for the deferred purchase price of goods or services (other than trade payables or accruals incurred in the ordinary course of business and not past due);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under capital leases;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secured by a Lien on the assets of such Person, whether or not such obligation has been assumed by such Person;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with respect to reimbursement obligations for letters of credit and other similar instruments (whether or not drawn);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in the nature of guaranties of the obligations described in clauses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through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above of any other Person or as to which such Person has an obligation substantially the economic equivalent of a guaranty; (</w:t>
      </w:r>
      <w:r>
        <w:rPr>
          <w:rFonts w:ascii="Times New Roman;Times;Serif" w:hAnsi="Times New Roman;Times;Serif"/>
          <w:b w:val="false"/>
          <w:i/>
          <w:caps w:val="false"/>
          <w:smallCaps w:val="false"/>
          <w:sz w:val="20"/>
        </w:rPr>
        <w:t>h</w:t>
      </w:r>
      <w:r>
        <w:rPr>
          <w:rFonts w:ascii="Times New Roman;Times;Serif" w:hAnsi="Times New Roman;Times;Serif"/>
          <w:b w:val="false"/>
          <w:i w:val="false"/>
          <w:caps w:val="false"/>
          <w:smallCaps w:val="false"/>
          <w:sz w:val="20"/>
        </w:rPr>
        <w:t>) for unpaid interest, prepayment penalties, premiums, costs and fees that would arise or become due as a result of the prepayment of any of the obligations referred to in the foregoing clauses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through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in respect of any other amount properly characterized as indebtedness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Indemnified Party</w:t>
      </w:r>
      <w:r>
        <w:rPr>
          <w:rFonts w:ascii="Times New Roman;Times;Serif" w:hAnsi="Times New Roman;Times;Serif"/>
          <w:b w:val="false"/>
          <w:i w:val="false"/>
          <w:caps w:val="false"/>
          <w:smallCaps w:val="false"/>
          <w:sz w:val="20"/>
        </w:rPr>
        <w:t xml:space="preserve">” means any Person claiming indemnification under any provision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Indemnifying Party</w:t>
      </w:r>
      <w:r>
        <w:rPr>
          <w:rFonts w:ascii="Times New Roman;Times;Serif" w:hAnsi="Times New Roman;Times;Serif"/>
          <w:b w:val="false"/>
          <w:i w:val="false"/>
          <w:caps w:val="false"/>
          <w:smallCaps w:val="false"/>
          <w:sz w:val="20"/>
        </w:rPr>
        <w:t xml:space="preserve">” means any Person against whom a claim for indemnification is being asserted under any provision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Insured Property Rights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Interconnection SPV</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Interim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ITC</w:t>
      </w:r>
      <w:r>
        <w:rPr>
          <w:rFonts w:ascii="Times New Roman;Times;Serif" w:hAnsi="Times New Roman;Times;Serif"/>
          <w:b w:val="false"/>
          <w:i w:val="false"/>
          <w:caps w:val="false"/>
          <w:smallCaps w:val="false"/>
          <w:sz w:val="20"/>
        </w:rPr>
        <w:t>” means the federal investment tax credit set forth in Section 48 of the Code or any successor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Knowledge</w:t>
      </w:r>
      <w:r>
        <w:rPr>
          <w:rFonts w:ascii="Times New Roman;Times;Serif" w:hAnsi="Times New Roman;Times;Serif"/>
          <w:b w:val="false"/>
          <w:i w:val="false"/>
          <w:caps w:val="false"/>
          <w:smallCaps w:val="false"/>
          <w:sz w:val="20"/>
        </w:rPr>
        <w:t>” means the actual knowledge of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in the case of Seller, [***],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in the case of Purchaser, [***], in each case, after reasonable inquiry of their direct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Land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3.01(n)(i)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Law</w:t>
      </w:r>
      <w:r>
        <w:rPr>
          <w:rFonts w:ascii="Times New Roman;Times;Serif" w:hAnsi="Times New Roman;Times;Serif"/>
          <w:b w:val="false"/>
          <w:i w:val="false"/>
          <w:caps w:val="false"/>
          <w:smallCaps w:val="false"/>
          <w:sz w:val="20"/>
        </w:rPr>
        <w:t>” means all laws, statutes, treaties, rules, injunctions, judgments, decrees, writs, orders, codes, ordinances, standards, regulations, restrictions, executive orders, official guidelines, policies, directives, interpretations, permits or other pronouncements, in each case, having the effect of law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Liabilities</w:t>
      </w:r>
      <w:r>
        <w:rPr>
          <w:rFonts w:ascii="Times New Roman;Times;Serif" w:hAnsi="Times New Roman;Times;Serif"/>
          <w:b w:val="false"/>
          <w:i w:val="false"/>
          <w:caps w:val="false"/>
          <w:smallCaps w:val="false"/>
          <w:sz w:val="20"/>
        </w:rPr>
        <w:t>” means any liability, Indebtedness, obligation, commitment, or expense, in each case, requiring either: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payment of a monetary amount;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type or fulfillment of an obligation, and in each case whether accrued, absolute, contingent, asserted, matured, unmatured, secured or unsecured.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Lien</w:t>
      </w:r>
      <w:r>
        <w:rPr>
          <w:rFonts w:ascii="Times New Roman;Times;Serif" w:hAnsi="Times New Roman;Times;Serif"/>
          <w:b w:val="false"/>
          <w:i w:val="false"/>
          <w:caps w:val="false"/>
          <w:smallCaps w:val="false"/>
          <w:sz w:val="20"/>
        </w:rPr>
        <w:t>” means any lien, mortgage, pledge, security interest, charge or encumbrance of any kind (including any conditional sale or other title retention agreement, any lease in the nature thereof, and any agreement to give any lien or security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Losses</w:t>
      </w:r>
      <w:r>
        <w:rPr>
          <w:rFonts w:ascii="Times New Roman;Times;Serif" w:hAnsi="Times New Roman;Times;Serif"/>
          <w:b w:val="false"/>
          <w:i w:val="false"/>
          <w:caps w:val="false"/>
          <w:smallCaps w:val="false"/>
          <w:sz w:val="20"/>
        </w:rPr>
        <w:t xml:space="preserve">” means any and all claims (including third party and inter-party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 except as otherwise provided in </w:t>
      </w:r>
      <w:r>
        <w:rPr>
          <w:rFonts w:ascii="Times New Roman;Times;Serif" w:hAnsi="Times New Roman;Times;Serif"/>
          <w:b w:val="false"/>
          <w:i/>
          <w:caps w:val="false"/>
          <w:smallCaps w:val="false"/>
          <w:sz w:val="20"/>
        </w:rPr>
        <w:t>Section 8.15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Major Project Change</w:t>
      </w:r>
      <w:r>
        <w:rPr>
          <w:rFonts w:ascii="Times New Roman;Times;Serif" w:hAnsi="Times New Roman;Times;Serif"/>
          <w:b w:val="false"/>
          <w:i w:val="false"/>
          <w:caps w:val="false"/>
          <w:smallCaps w:val="false"/>
          <w:sz w:val="20"/>
        </w:rPr>
        <w:t>” means a: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delay in the construction of the Project that is reasonably likely to result in a material delay in achieving commercial operations of the Project;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material increase in the costs of, or liability to, the Project or any Acquired Company that will not be borne by Seller or otherwise paid, extinguished or fully satisfied as of the Closing Date;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to the extent not taken into account in the Base Case Model, any fact, event, circumstance, condition or change that has a material adverse effect on the expected generation from or operating cost of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Master Services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Material Adverse Effect</w:t>
      </w:r>
      <w:r>
        <w:rPr>
          <w:rFonts w:ascii="Times New Roman;Times;Serif" w:hAnsi="Times New Roman;Times;Serif"/>
          <w:b w:val="false"/>
          <w:i w:val="false"/>
          <w:caps w:val="false"/>
          <w:smallCaps w:val="false"/>
          <w:sz w:val="20"/>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 or the Acquired Companies, taken as a whole;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none of the following shall be or will be at the Closing Date deemed to constitute and shall not be taken into account in determining the occurrence of a Material Adverse Effect: any fact, event, circumstance, condition, change or effect resulting from: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economic change generally affecting the international, national or regional electric generating industry or wholesale markets for electric power;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economic change in markets for commodities or supplies, including electric power, as applicable, used in connection with any Acquired Company;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any change in general regulatory or political conditions, including any engagements of hostilities, acts of war or terrorist activities, natural disasters or weather-related events or changes imposed by a Governmental Authority associated with additional security;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any change in any Laws (including Environmental Laws), industry standards generally affecting the industry or markets in which any Acquired Company operates or GAAP;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any change in the financial condition of any Acquired Company caused by the transactions contemplated by this Agreement;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any actions to be taken pursuant to or in accordance with this Agreement; or (</w:t>
      </w:r>
      <w:r>
        <w:rPr>
          <w:rFonts w:ascii="Times New Roman;Times;Serif" w:hAnsi="Times New Roman;Times;Serif"/>
          <w:b w:val="false"/>
          <w:i/>
          <w:caps w:val="false"/>
          <w:smallCaps w:val="false"/>
          <w:sz w:val="20"/>
        </w:rPr>
        <w:t>h</w:t>
      </w:r>
      <w:r>
        <w:rPr>
          <w:rFonts w:ascii="Times New Roman;Times;Serif" w:hAnsi="Times New Roman;Times;Serif"/>
          <w:b w:val="false"/>
          <w:i w:val="false"/>
          <w:caps w:val="false"/>
          <w:smallCaps w:val="false"/>
          <w:sz w:val="20"/>
        </w:rPr>
        <w:t xml:space="preserve">) the announcement or pendency of the transactions contemplated hereby, including any labor union activities or disputes;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fact, event, circumstance, condition, change or effect resulting from clauses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through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shall nonetheless be taken into consideration in determining whether a Material Adverse Effect has occurred to the extent such changes, events, effects or occurrences have a materially disproportionate impact on the Acquired Companies, taken as whole, as compared to similarly situated businesses in the same industry and in the same geographical area, which shall be deemed to include the State of Missouri.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MBR Authorization</w:t>
      </w:r>
      <w:r>
        <w:rPr>
          <w:rFonts w:ascii="Times New Roman;Times;Serif" w:hAnsi="Times New Roman;Times;Serif"/>
          <w:b w:val="false"/>
          <w:i w:val="false"/>
          <w:caps w:val="false"/>
          <w:smallCaps w:val="false"/>
          <w:sz w:val="20"/>
        </w:rPr>
        <w:t>” means a final order issued by FERC: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authorizing the wholesale sale of electric energy, capacity, and specified ancillary services at market-based rates pursuant to Section 205 of the FPA;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accepting a tariff pertaining to such sales;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granting waivers of regulations and blanket authorizations customarily granted by FERC to an entity that makes wholesale sales of electric energy, capacity, and specified ancillary services at market-based rates, including blanket approval for the issuance of securities and assumption of liabilities under Section 204 of the FPA.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Minimum Average 5-Year CAFD Yield</w:t>
      </w:r>
      <w:r>
        <w:rPr>
          <w:rFonts w:ascii="Times New Roman;Times;Serif" w:hAnsi="Times New Roman;Times;Serif"/>
          <w:b w:val="false"/>
          <w:i w:val="false"/>
          <w:caps w:val="false"/>
          <w:smallCaps w:val="false"/>
          <w:sz w:val="20"/>
        </w:rPr>
        <w:t>” means an Average 5-Year CAFD Yield of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Minimum NPV</w:t>
      </w:r>
      <w:r>
        <w:rPr>
          <w:rFonts w:ascii="Times New Roman;Times;Serif" w:hAnsi="Times New Roman;Times;Serif"/>
          <w:b w:val="false"/>
          <w:i w:val="false"/>
          <w:caps w:val="false"/>
          <w:smallCaps w:val="false"/>
          <w:sz w:val="20"/>
        </w:rPr>
        <w:t>” means an incremental after-tax Net Present Value of at least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MPSC</w:t>
      </w:r>
      <w:r>
        <w:rPr>
          <w:rFonts w:ascii="Times New Roman;Times;Serif" w:hAnsi="Times New Roman;Times;Serif"/>
          <w:b w:val="false"/>
          <w:i w:val="false"/>
          <w:caps w:val="false"/>
          <w:smallCaps w:val="false"/>
          <w:sz w:val="20"/>
        </w:rPr>
        <w:t>” means the Missouri Public Service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MW</w:t>
      </w:r>
      <w:r>
        <w:rPr>
          <w:rFonts w:ascii="Times New Roman;Times;Serif" w:hAnsi="Times New Roman;Times;Serif"/>
          <w:b w:val="false"/>
          <w:i w:val="false"/>
          <w:caps w:val="false"/>
          <w:smallCaps w:val="false"/>
          <w:sz w:val="20"/>
        </w:rPr>
        <w:t>” means megawatt (alternating current).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NERC</w:t>
      </w:r>
      <w:r>
        <w:rPr>
          <w:rFonts w:ascii="Times New Roman;Times;Serif" w:hAnsi="Times New Roman;Times;Serif"/>
          <w:b w:val="false"/>
          <w:i w:val="false"/>
          <w:caps w:val="false"/>
          <w:smallCaps w:val="false"/>
          <w:sz w:val="20"/>
        </w:rPr>
        <w:t>” means the North American Electric Reliability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Net Present Value</w:t>
      </w:r>
      <w:r>
        <w:rPr>
          <w:rFonts w:ascii="Times New Roman;Times;Serif" w:hAnsi="Times New Roman;Times;Serif"/>
          <w:b w:val="false"/>
          <w:i w:val="false"/>
          <w:caps w:val="false"/>
          <w:smallCaps w:val="false"/>
          <w:sz w:val="20"/>
        </w:rPr>
        <w:t>” means, with respect to the Project,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the present value using the Discount Rate of the projected net after-tax cash flows generated by the Project over its expected operational life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present value using the Discount Rate of the Purchase Price, as calculated in accordance with the Base Case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Option</w:t>
      </w:r>
      <w:r>
        <w:rPr>
          <w:rFonts w:ascii="Times New Roman;Times;Serif" w:hAnsi="Times New Roman;Times;Serif"/>
          <w:b w:val="false"/>
          <w:i w:val="false"/>
          <w:caps w:val="false"/>
          <w:smallCaps w:val="false"/>
          <w:sz w:val="20"/>
        </w:rPr>
        <w:t>” with respect to any Person means any security, right, subscription, warrant, option, “phantom” stock right or other Contract that gives the right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Order</w:t>
      </w:r>
      <w:r>
        <w:rPr>
          <w:rFonts w:ascii="Times New Roman;Times;Serif" w:hAnsi="Times New Roman;Times;Serif"/>
          <w:b w:val="false"/>
          <w:i w:val="false"/>
          <w:caps w:val="false"/>
          <w:smallCaps w:val="false"/>
          <w:sz w:val="20"/>
        </w:rPr>
        <w:t>” means any writ, judgment, injunction, ruling, decision, order or similar direction of any Governmental Authority, whether preliminary or final.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Outside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7.01(b)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Party</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Parties</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w:t>
      </w:r>
      <w:r>
        <w:rPr>
          <w:rFonts w:ascii="Times New Roman;Times;Serif" w:hAnsi="Times New Roman;Times;Serif"/>
          <w:b w:val="false"/>
          <w:i w:val="false"/>
          <w:caps w:val="false"/>
          <w:smallCaps w:val="false"/>
          <w:sz w:val="20"/>
        </w:rPr>
        <w:t>” means all licenses, permits, consents, authorizations, approvals, ratifications, certifications, exemptions, variances, exceptions and similar consents granted or issued by or from, and filings and registrations with or delivered to,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Equity Encumbrances</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those restrictions on transfer imposed by applicable securities laws;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Liens or restrictions imposed on transfers set forth in the Constitutive Documents of the issuer;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Liens created pursuant to, and securing any Indebtedness under, the Financing Documents or Tax Equity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Exceptions</w:t>
      </w:r>
      <w:r>
        <w:rPr>
          <w:rFonts w:ascii="Times New Roman;Times;Serif" w:hAnsi="Times New Roman;Times;Serif"/>
          <w:b w:val="false"/>
          <w:i w:val="false"/>
          <w:caps w:val="false"/>
          <w:smallCaps w:val="false"/>
          <w:sz w:val="20"/>
        </w:rPr>
        <w:t>” means, with respect to the Real Property Rights,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Liens for Taxes, which are not due and payable as of the Closing Date or, if due, are: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not delinquent;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being contested in good faith through appropriate proceedings and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building codes and zoning ordinances and other Laws of any Governmental Authority heretofore, now or hereafter enacted, made or issued by any such Governmental Authority affecting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easements, rights-of-way, covenants, conditions, restrictions, reservations, licenses, agreements and other similar matters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rights with respect to the ownership, mining, extraction and removal of minerals, of whatever kind and character (including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inchoate mechanic’s and materialmen’s liens for construction in progress and workmen’s, repairmen’s, warehousemen’s and carrier’s liens arising in the ordinary course of business of the Acquired Companies: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as to which there is no existing default on the part of the Acquired Companies;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that are being contested in good faith through appropriate proceedings and as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Lien</w:t>
      </w:r>
      <w:r>
        <w:rPr>
          <w:rFonts w:ascii="Times New Roman;Times;Serif" w:hAnsi="Times New Roman;Times;Serif"/>
          <w:b w:val="false"/>
          <w:i w:val="false"/>
          <w:caps w:val="false"/>
          <w:smallCaps w:val="false"/>
          <w:sz w:val="20"/>
        </w:rPr>
        <w:t>” means any: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mechanic’s, laborer’s, workmen’s, repairmen’s and carrier’s Liens, including all statutory Liens: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relating to obligations as to which there is no existing default on the part of the Acquired Companies;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that Seller is contesting in good faith through appropriate proceedings and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 as applicable;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Liens for Taxes, assessments and other governmental charges not yet due and payable or, if due: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not delinquent;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being contested in good faith through appropriate proceedings and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good faith deposits in connection with bids, tenders, leases, contracts or other agreements, including rent security deposits;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pledges or deposits to secure public or statutory obligations or appeal bonds;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in the case of personal property owned or held by the Acquired Companies, covenants and other restrictions in the Company Contracts;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any Liens relating to or arising from the Financing Documents or Tax Equity Agreements;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any encumbrance or exception reflected in the Title Policy; (</w:t>
      </w:r>
      <w:r>
        <w:rPr>
          <w:rFonts w:ascii="Times New Roman;Times;Serif" w:hAnsi="Times New Roman;Times;Serif"/>
          <w:b w:val="false"/>
          <w:i/>
          <w:caps w:val="false"/>
          <w:smallCaps w:val="false"/>
          <w:sz w:val="20"/>
        </w:rPr>
        <w:t>h</w:t>
      </w:r>
      <w:r>
        <w:rPr>
          <w:rFonts w:ascii="Times New Roman;Times;Serif" w:hAnsi="Times New Roman;Times;Serif"/>
          <w:b w:val="false"/>
          <w:i w:val="false"/>
          <w:caps w:val="false"/>
          <w:smallCaps w:val="false"/>
          <w:sz w:val="20"/>
        </w:rPr>
        <w:t>) Liens against the assets of any Acquired Company that would not, individually or in the aggregate, interfere in any material adverse respect with the ability of such Acquired Company to use the property encumbered thereby for its intended purpose in connection with the Project; and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any other Liens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Person</w:t>
      </w:r>
      <w:r>
        <w:rPr>
          <w:rFonts w:ascii="Times New Roman;Times;Serif" w:hAnsi="Times New Roman;Times;Serif"/>
          <w:b w:val="false"/>
          <w:i w:val="false"/>
          <w:caps w:val="false"/>
          <w:smallCaps w:val="false"/>
          <w:sz w:val="20"/>
        </w:rPr>
        <w:t>” means any natural person, corporation, limited liability company, general partnership, limited partnership, proprietorship, other business, entity, organization, trust, union, association or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Pledgor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PPA</w:t>
      </w:r>
      <w:r>
        <w:rPr>
          <w:rFonts w:ascii="Times New Roman;Times;Serif" w:hAnsi="Times New Roman;Times;Serif"/>
          <w:b w:val="false"/>
          <w:i w:val="false"/>
          <w:caps w:val="false"/>
          <w:smallCaps w:val="false"/>
          <w:sz w:val="20"/>
        </w:rPr>
        <w:t>” means that certain Power Purchase Agreement, dated as of December 22, 2025, by and between the Project Company and Google Energy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Pricing Adjustments</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HoldCo</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MC Funding</w:t>
      </w:r>
      <w:r>
        <w:rPr>
          <w:rFonts w:ascii="Times New Roman;Times;Serif" w:hAnsi="Times New Roman;Times;Serif"/>
          <w:b w:val="false"/>
          <w:i w:val="false"/>
          <w:caps w:val="false"/>
          <w:smallCaps w:val="false"/>
          <w:sz w:val="20"/>
        </w:rPr>
        <w:t>” means the “Initial Funding” (or other equivalent term) (to be defined in the Tax Equity ECCA) pursuant to the Tax Equity 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MC Funding Date</w:t>
      </w:r>
      <w:r>
        <w:rPr>
          <w:rFonts w:ascii="Times New Roman;Times;Serif" w:hAnsi="Times New Roman;Times;Serif"/>
          <w:b w:val="false"/>
          <w:i w:val="false"/>
          <w:caps w:val="false"/>
          <w:smallCaps w:val="false"/>
          <w:sz w:val="20"/>
        </w:rPr>
        <w:t>” means the date on which the Project MC Funding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SC Funding</w:t>
      </w:r>
      <w:r>
        <w:rPr>
          <w:rFonts w:ascii="Times New Roman;Times;Serif" w:hAnsi="Times New Roman;Times;Serif"/>
          <w:b w:val="false"/>
          <w:i w:val="false"/>
          <w:caps w:val="false"/>
          <w:smallCaps w:val="false"/>
          <w:sz w:val="20"/>
        </w:rPr>
        <w:t>” means the “Final Funding” (or other equivalent term) (to be defined in the Tax Equity ECCA) pursuant to the Tax Equity 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SC Funding Date</w:t>
      </w:r>
      <w:r>
        <w:rPr>
          <w:rFonts w:ascii="Times New Roman;Times;Serif" w:hAnsi="Times New Roman;Times;Serif"/>
          <w:b w:val="false"/>
          <w:i w:val="false"/>
          <w:caps w:val="false"/>
          <w:smallCaps w:val="false"/>
          <w:sz w:val="20"/>
        </w:rPr>
        <w:t>” means the date on which the Project SC Funding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3.01(aa)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Prudent Industry Practices</w:t>
      </w:r>
      <w:r>
        <w:rPr>
          <w:rFonts w:ascii="Times New Roman;Times;Serif" w:hAnsi="Times New Roman;Times;Serif"/>
          <w:b w:val="false"/>
          <w:i w:val="false"/>
          <w:caps w:val="false"/>
          <w:smallCaps w:val="false"/>
          <w:sz w:val="20"/>
        </w:rPr>
        <w:t>” means those practices, methods, standards and procedures as are commonly used by a significant portion of those providing operating services on solar facilities of a type and size similar to the Project,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PUHCA</w:t>
      </w:r>
      <w:r>
        <w:rPr>
          <w:rFonts w:ascii="Times New Roman;Times;Serif" w:hAnsi="Times New Roman;Times;Serif"/>
          <w:b w:val="false"/>
          <w:i w:val="false"/>
          <w:caps w:val="false"/>
          <w:smallCaps w:val="false"/>
          <w:sz w:val="20"/>
        </w:rPr>
        <w:t>” means the Public Utility Holding Company Act of 2005 and the implementing regulations of the FERC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 Price Payments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Cash Diversion Guaranty</w:t>
      </w:r>
      <w:r>
        <w:rPr>
          <w:rFonts w:ascii="Times New Roman;Times;Serif" w:hAnsi="Times New Roman;Times;Serif"/>
          <w:b w:val="false"/>
          <w:i w:val="false"/>
          <w:caps w:val="false"/>
          <w:smallCaps w:val="false"/>
          <w:sz w:val="20"/>
        </w:rPr>
        <w:t>” means the Cash Diversion Guaranty (as defined in the Financing Agreement) to be entered into by Purchaser Parent on behalf of Class B HoldCo in favor of the Administrative Agent pursuant to Section 5.25 of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Indemnified Parties</w:t>
      </w:r>
      <w:r>
        <w:rPr>
          <w:rFonts w:ascii="Times New Roman;Times;Serif" w:hAnsi="Times New Roman;Times;Serif"/>
          <w:b w:val="false"/>
          <w:i w:val="false"/>
          <w:caps w:val="false"/>
          <w:smallCaps w:val="false"/>
          <w:sz w:val="20"/>
        </w:rPr>
        <w:t>” means Purchaser and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Parent</w:t>
      </w:r>
      <w:r>
        <w:rPr>
          <w:rFonts w:ascii="Times New Roman;Times;Serif" w:hAnsi="Times New Roman;Times;Serif"/>
          <w:b w:val="false"/>
          <w:i w:val="false"/>
          <w:caps w:val="false"/>
          <w:smallCaps w:val="false"/>
          <w:sz w:val="20"/>
        </w:rPr>
        <w:t>” means Clearway Energy Operating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Parent Guaranty</w:t>
      </w:r>
      <w:r>
        <w:rPr>
          <w:rFonts w:ascii="Times New Roman;Times;Serif" w:hAnsi="Times New Roman;Times;Serif"/>
          <w:b w:val="false"/>
          <w:i w:val="false"/>
          <w:caps w:val="false"/>
          <w:smallCaps w:val="false"/>
          <w:sz w:val="20"/>
        </w:rPr>
        <w:t xml:space="preserve">” means the Purchaser Parent Guaranty, dated as of the Execution Date and issued by the Purchaser Parent, in the form of </w:t>
      </w:r>
      <w:r>
        <w:rPr>
          <w:rFonts w:ascii="Times New Roman;Times;Serif" w:hAnsi="Times New Roman;Times;Serif"/>
          <w:b w:val="false"/>
          <w:i/>
          <w:caps w:val="false"/>
          <w:smallCaps w:val="false"/>
          <w:sz w:val="20"/>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Tax Credit Transfer Guaranty</w:t>
      </w:r>
      <w:r>
        <w:rPr>
          <w:rFonts w:ascii="Times New Roman;Times;Serif" w:hAnsi="Times New Roman;Times;Serif"/>
          <w:b w:val="false"/>
          <w:i w:val="false"/>
          <w:caps w:val="false"/>
          <w:smallCaps w:val="false"/>
          <w:sz w:val="20"/>
        </w:rPr>
        <w:t xml:space="preserve">” means any Guaranty Agreement to be entered into pursuant to any Tax Credit Transfer Agreement by Purchaser Parent, in favor of any Tax Credit Purchaser, the form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Tax Equity Guaranty</w:t>
      </w:r>
      <w:r>
        <w:rPr>
          <w:rFonts w:ascii="Times New Roman;Times;Serif" w:hAnsi="Times New Roman;Times;Serif"/>
          <w:b w:val="false"/>
          <w:i w:val="false"/>
          <w:caps w:val="false"/>
          <w:smallCaps w:val="false"/>
          <w:sz w:val="20"/>
        </w:rPr>
        <w:t xml:space="preserve">” means each Guaranty Agreement to be entered into pursuant to the Tax Equity ECCA, Tax Equity LLCA or TE Holdco MIPA, by Purchaser Parent, in favor of the Tax Equity Investor or TE HoldCo, the form of which shall be subject to Purchaser’s approval pursuant to </w:t>
      </w:r>
      <w:r>
        <w:rPr>
          <w:rFonts w:ascii="Times New Roman;Times;Serif" w:hAnsi="Times New Roman;Times;Serif"/>
          <w:b w:val="false"/>
          <w:i/>
          <w:caps w:val="false"/>
          <w:smallCaps w:val="false"/>
          <w:sz w:val="20"/>
        </w:rPr>
        <w:t xml:space="preserve">Section 5.12(a), </w:t>
      </w:r>
      <w:r>
        <w:rPr>
          <w:rFonts w:ascii="Times New Roman;Times;Serif" w:hAnsi="Times New Roman;Times;Serif"/>
          <w:b w:val="false"/>
          <w:i w:val="false"/>
          <w:caps w:val="false"/>
          <w:smallCaps w:val="false"/>
          <w:sz w:val="20"/>
        </w:rPr>
        <w:t>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Real Property Rights</w:t>
      </w:r>
      <w:r>
        <w:rPr>
          <w:rFonts w:ascii="Times New Roman;Times;Serif" w:hAnsi="Times New Roman;Times;Serif"/>
          <w:b w:val="false"/>
          <w:i w:val="false"/>
          <w:caps w:val="false"/>
          <w:smallCaps w:val="false"/>
          <w:sz w:val="20"/>
        </w:rPr>
        <w:t>” means all real property rights and interests of the Acquired Companies, including all fee interests, options, leases, easements, land use rights, access easements, transmission line easements, rights to ingress and egress, any and all bids, grants, awards, applications, rights to negotiate and all other rights relating to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RECs</w:t>
      </w:r>
      <w:r>
        <w:rPr>
          <w:rFonts w:ascii="Times New Roman;Times;Serif" w:hAnsi="Times New Roman;Times;Serif"/>
          <w:b w:val="false"/>
          <w:i w:val="false"/>
          <w:caps w:val="false"/>
          <w:smallCaps w:val="false"/>
          <w:sz w:val="20"/>
        </w:rPr>
        <w:t>” has the meaning set forth in the definition of “Environmental Attributes.”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Release</w:t>
      </w:r>
      <w:r>
        <w:rPr>
          <w:rFonts w:ascii="Times New Roman;Times;Serif" w:hAnsi="Times New Roman;Times;Serif"/>
          <w:b w:val="false"/>
          <w:i w:val="false"/>
          <w:caps w:val="false"/>
          <w:smallCaps w:val="false"/>
          <w:sz w:val="20"/>
        </w:rPr>
        <w:t>” means any release, spill, emission, leaking, pumping, pouring, injection, deposit, disposal, emptying, escaping, discharge, dispersal, dumping, leaching or migration of Hazardous Substances into or upon any land, water or air, including the movement of Hazardous Substances through or in any land, water or air, including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Reports</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“Independent Engineer Report” (or other equivalent term) (to be defined in the Tax Equity ECCA);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“Environmental Report” (or other equivalent term) (to be defined in the Tax Equity ECCA);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the “Insurance Report” (or other equivalent term) (to be defined in the Tax Equity ECCA); and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the “Transmission Consultant Report” (or other equivalent term) (to be defined in the Tax Equity ECCA); in each case,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as applicable,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including any bring downs of such reports delivered pursuant to the Tax Equity ECCA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Representatives</w:t>
      </w:r>
      <w:r>
        <w:rPr>
          <w:rFonts w:ascii="Times New Roman;Times;Serif" w:hAnsi="Times New Roman;Times;Serif"/>
          <w:b w:val="false"/>
          <w:i w:val="false"/>
          <w:caps w:val="false"/>
          <w:smallCaps w:val="false"/>
          <w:sz w:val="20"/>
        </w:rPr>
        <w:t>” means with respect to any Person, the officers, directors, employees, counsel, accountants, financing advisors, consultants and agents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Retained Interest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Retained Support Obligation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SC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2.02(ii)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SC Payment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2.02(ii)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Approvals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Cash Diversion Guaranty</w:t>
      </w:r>
      <w:r>
        <w:rPr>
          <w:rFonts w:ascii="Times New Roman;Times;Serif" w:hAnsi="Times New Roman;Times;Serif"/>
          <w:b w:val="false"/>
          <w:i w:val="false"/>
          <w:caps w:val="false"/>
          <w:smallCaps w:val="false"/>
          <w:sz w:val="20"/>
        </w:rPr>
        <w:t>” means the Cash Diversion Guaranty (as defined in the Financing Agreement) to be entered into by Seller Parent on behalf of Class B HoldCo in favor of the Administrative Agent pursuant to Section 5.25 of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Consents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Distribution</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Indemnified Parties</w:t>
      </w:r>
      <w:r>
        <w:rPr>
          <w:rFonts w:ascii="Times New Roman;Times;Serif" w:hAnsi="Times New Roman;Times;Serif"/>
          <w:b w:val="false"/>
          <w:i w:val="false"/>
          <w:caps w:val="false"/>
          <w:smallCaps w:val="false"/>
          <w:sz w:val="20"/>
        </w:rPr>
        <w:t>” means Seller and each of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Parent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Parent Guaranty</w:t>
      </w:r>
      <w:r>
        <w:rPr>
          <w:rFonts w:ascii="Times New Roman;Times;Serif" w:hAnsi="Times New Roman;Times;Serif"/>
          <w:b w:val="false"/>
          <w:i w:val="false"/>
          <w:caps w:val="false"/>
          <w:smallCaps w:val="false"/>
          <w:sz w:val="20"/>
        </w:rPr>
        <w:t xml:space="preserve">” means that guaranty of Seller Parent, dated as of the Execution Date and attached hereto as </w:t>
      </w:r>
      <w:r>
        <w:rPr>
          <w:rFonts w:ascii="Times New Roman;Times;Serif" w:hAnsi="Times New Roman;Times;Serif"/>
          <w:b w:val="false"/>
          <w:i/>
          <w:caps w:val="false"/>
          <w:smallCaps w:val="false"/>
          <w:sz w:val="20"/>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Tax Credit Transfer Guaranty</w:t>
      </w:r>
      <w:r>
        <w:rPr>
          <w:rFonts w:ascii="Times New Roman;Times;Serif" w:hAnsi="Times New Roman;Times;Serif"/>
          <w:b w:val="false"/>
          <w:i w:val="false"/>
          <w:caps w:val="false"/>
          <w:smallCaps w:val="false"/>
          <w:sz w:val="20"/>
        </w:rPr>
        <w:t xml:space="preserve">” means any Guaranty Agreement to be entered into pursuant to any Tax Credit Transfer Agreement by Clearway Renew LLC (or another Affiliate of Seller) on behalf of TE HoldCo (or another Acquired Company), in favor of any Tax Credit Purchaser,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Tax Equity Guaranty</w:t>
      </w:r>
      <w:r>
        <w:rPr>
          <w:rFonts w:ascii="Times New Roman;Times;Serif" w:hAnsi="Times New Roman;Times;Serif"/>
          <w:b w:val="false"/>
          <w:i w:val="false"/>
          <w:caps w:val="false"/>
          <w:smallCaps w:val="false"/>
          <w:sz w:val="20"/>
        </w:rPr>
        <w:t xml:space="preserve">” means that certain Guaranty Agreement to be entered into pursuant to the Tax Equity ECCA by Clearway Renew, LLC (or another Affiliate of Seller) on behalf of Class B HoldCo, in favor of the Tax Equity Investor,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SPP</w:t>
      </w:r>
      <w:r>
        <w:rPr>
          <w:rFonts w:ascii="Times New Roman;Times;Serif" w:hAnsi="Times New Roman;Times;Serif"/>
          <w:b w:val="false"/>
          <w:i w:val="false"/>
          <w:caps w:val="false"/>
          <w:smallCaps w:val="false"/>
          <w:sz w:val="20"/>
        </w:rPr>
        <w:t>” means Southwest Power Pool, Inc., an Arkansas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Substitute Support Obligation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Support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Target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or of any other nation or any jurisdiction therein, together with any obligations for the Taxes of any other Person, whether as successor, a member of a group, indemnitor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Credit Purchaser</w:t>
      </w:r>
      <w:r>
        <w:rPr>
          <w:rFonts w:ascii="Times New Roman;Times;Serif" w:hAnsi="Times New Roman;Times;Serif"/>
          <w:b w:val="false"/>
          <w:i w:val="false"/>
          <w:caps w:val="false"/>
          <w:smallCaps w:val="false"/>
          <w:sz w:val="20"/>
        </w:rPr>
        <w:t>” means any Person selected by Seller and its Affiliates, subject to the approval of Purchaser (which approval shall not be unreasonably withheld or delayed), as the counterparty to any Tax Credit Transfer Transaction entered into as part of the Tax Equity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Credit Transfer Agreement</w:t>
      </w:r>
      <w:r>
        <w:rPr>
          <w:rFonts w:ascii="Times New Roman;Times;Serif" w:hAnsi="Times New Roman;Times;Serif"/>
          <w:b w:val="false"/>
          <w:i w:val="false"/>
          <w:caps w:val="false"/>
          <w:smallCaps w:val="false"/>
          <w:sz w:val="20"/>
        </w:rPr>
        <w:t xml:space="preserve">” means any tax credit transfer agreement (or the equivalent), to be entered into by and between any Tax Credit Purchaser and TE HoldCo (or another Acquired Company), as applicable,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Credit Transfer Transaction</w:t>
      </w:r>
      <w:r>
        <w:rPr>
          <w:rFonts w:ascii="Times New Roman;Times;Serif" w:hAnsi="Times New Roman;Times;Serif"/>
          <w:b w:val="false"/>
          <w:i w:val="false"/>
          <w:caps w:val="false"/>
          <w:smallCaps w:val="false"/>
          <w:sz w:val="20"/>
        </w:rPr>
        <w:t>” means a sale, transfer or other disposition of all or a portion of any ITC in accordance with Code Section 6418, in respect of the Project or the Project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Agreements</w:t>
      </w:r>
      <w:r>
        <w:rPr>
          <w:rFonts w:ascii="Times New Roman;Times;Serif" w:hAnsi="Times New Roman;Times;Serif"/>
          <w:b w:val="false"/>
          <w:i w:val="false"/>
          <w:caps w:val="false"/>
          <w:smallCaps w:val="false"/>
          <w:sz w:val="20"/>
        </w:rPr>
        <w:t>” means, collectively, the Tax Equity ECCA, the Tax Equity LLCA, the TE HoldCo MIPA, the Seller Tax Equity Guaranty, the Purchaser Tax Equity Guaranty, any Tax Credit Transfer Agreement, any Seller Tax Credit Transfer Guaranty and any Purchaser Tax Credit Transfer Guaranty, in each case, upon execution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Documents</w:t>
      </w:r>
      <w:r>
        <w:rPr>
          <w:rFonts w:ascii="Times New Roman;Times;Serif" w:hAnsi="Times New Roman;Times;Serif"/>
          <w:b w:val="false"/>
          <w:i w:val="false"/>
          <w:caps w:val="false"/>
          <w:smallCaps w:val="false"/>
          <w:sz w:val="20"/>
        </w:rPr>
        <w:t xml:space="preserve">” means each of the Tax Equity Agreements and each other agreement or certificate to be executed and delivered pursuant to the Tax Equity ECCA, the Tax Equity LLCA or any Tax Credit Transfer Agreement, in each case, pursuant to the terms and subject to the conditions of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ECCA</w:t>
      </w:r>
      <w:r>
        <w:rPr>
          <w:rFonts w:ascii="Times New Roman;Times;Serif" w:hAnsi="Times New Roman;Times;Serif"/>
          <w:b w:val="false"/>
          <w:i w:val="false"/>
          <w:caps w:val="false"/>
          <w:smallCaps w:val="false"/>
          <w:sz w:val="20"/>
        </w:rPr>
        <w:t xml:space="preserve">” means that certain Equity Capital Contribution Agreement, to be entered into between the Tax Equity Investor and Class B HoldCo, the form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Financing</w:t>
      </w:r>
      <w:r>
        <w:rPr>
          <w:rFonts w:ascii="Times New Roman;Times;Serif" w:hAnsi="Times New Roman;Times;Serif"/>
          <w:b w:val="false"/>
          <w:i w:val="false"/>
          <w:caps w:val="false"/>
          <w:smallCaps w:val="false"/>
          <w:sz w:val="20"/>
        </w:rPr>
        <w:t>” means, with respect to the Project and the Project Company, any tax equity financing entered into in connection with the acquisition, sale, lease, financing or refinancing of the Project and the Project Company, or any direct or indirect parent thereof, which may include a Tax Credit Transfer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Investor</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LLCA</w:t>
      </w:r>
      <w:r>
        <w:rPr>
          <w:rFonts w:ascii="Times New Roman;Times;Serif" w:hAnsi="Times New Roman;Times;Serif"/>
          <w:b w:val="false"/>
          <w:i w:val="false"/>
          <w:caps w:val="false"/>
          <w:smallCaps w:val="false"/>
          <w:sz w:val="20"/>
        </w:rPr>
        <w:t xml:space="preserve">” means that certain Amended and Restated Limited Liability Company Agreement of TE HoldCo, to be entered into between Class B HoldCo and the Tax Equity Investor,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Model</w:t>
      </w:r>
      <w:r>
        <w:rPr>
          <w:rFonts w:ascii="Times New Roman;Times;Serif" w:hAnsi="Times New Roman;Times;Serif"/>
          <w:b w:val="false"/>
          <w:i w:val="false"/>
          <w:caps w:val="false"/>
          <w:smallCaps w:val="false"/>
          <w:sz w:val="20"/>
        </w:rPr>
        <w:t xml:space="preserve">” means the “Base Case Model” (or other equivalent term) (to be defined in and updated pursuant to the Tax Equity ECCA), the initial form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Signing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Loss</w:t>
      </w:r>
      <w:r>
        <w:rPr>
          <w:rFonts w:ascii="Times New Roman;Times;Serif" w:hAnsi="Times New Roman;Times;Serif"/>
          <w:b w:val="false"/>
          <w:i w:val="false"/>
          <w:caps w:val="false"/>
          <w:smallCaps w:val="false"/>
          <w:sz w:val="20"/>
        </w:rPr>
        <w:t>” means for each Project, that any “Class A Member” (as defined in the Tax Equity ECCA) or the TE HoldCo shall lose the benefit of, shall not have the right to claim, shall suffer a disallowance or deferral of, shall suffer a delay in claiming or shall not claim, in each case, as the result of a “Final Determination” (as defined in Exhibit A to the Tax Equity ECCA) that there is no “reasonable basis”(within the meaning of Section 6662(d)(2)(B)(ii) of the Code) to claim all or any portion of the ITCs or accelerated depreciation, as applicable, contemplated by the Tax Equity Model in respect of such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Loss Cap</w:t>
      </w:r>
      <w:r>
        <w:rPr>
          <w:rFonts w:ascii="Times New Roman;Times;Serif" w:hAnsi="Times New Roman;Times;Serif"/>
          <w:b w:val="false"/>
          <w:i w:val="false"/>
          <w:caps w:val="false"/>
          <w:smallCaps w:val="false"/>
          <w:sz w:val="20"/>
        </w:rPr>
        <w:t>” means an amount equal to the sum of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maximum amount of Purchaser Parent’s liability under all Purchaser Tax Equity Guaranties, in the aggregate, plus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maximum amount of Purchaser Parent’s liability under any Purchaser Tax Credit Transfer Guaranties or Tax Credit Transfer Agreements,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Return</w:t>
      </w:r>
      <w:r>
        <w:rPr>
          <w:rFonts w:ascii="Times New Roman;Times;Serif" w:hAnsi="Times New Roman;Times;Serif"/>
          <w:b w:val="false"/>
          <w:i w:val="false"/>
          <w:caps w:val="false"/>
          <w:smallCaps w:val="false"/>
          <w:sz w:val="20"/>
        </w:rPr>
        <w:t>” means any report, form, return, statement or other information (including any amendments) supplied to or filed with, or required to be supplied to or filed with a Governmental Authority by a Person with respect to Taxes, including information returns, any amendments thereof or schedule or attachment thereto and any documents with respect to or accompanying requests for the extension of time in which to file any such report, form, return, statement or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TE HoldCo</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TE HoldCo MIPA</w:t>
      </w:r>
      <w:r>
        <w:rPr>
          <w:rFonts w:ascii="Times New Roman;Times;Serif" w:hAnsi="Times New Roman;Times;Serif"/>
          <w:b w:val="false"/>
          <w:i w:val="false"/>
          <w:caps w:val="false"/>
          <w:smallCaps w:val="false"/>
          <w:sz w:val="20"/>
        </w:rPr>
        <w:t xml:space="preserve">” means that certain Membership Interest Purchase Agreement for the sale by Project HoldCo and the purchase by TE HoldCo of one hundred percent (100%) of the membership interests in the Pledgor Company, to be entered into between Project HoldCo and TE HoldCo, the form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Title Company</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)Commonwealth Land Title Insurance Company;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another nationally recognized title insurance company reasonably acceptable to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Title Policy</w:t>
      </w:r>
      <w:r>
        <w:rPr>
          <w:rFonts w:ascii="Times New Roman;Times;Serif" w:hAnsi="Times New Roman;Times;Serif"/>
          <w:b w:val="false"/>
          <w:i w:val="false"/>
          <w:caps w:val="false"/>
          <w:smallCaps w:val="false"/>
          <w:sz w:val="20"/>
        </w:rPr>
        <w:t>” means the Owner’s Policy for an ALTA 2006 extended coverage owner’s policy of title insurance, issued by the Title Company in favor of the Project Company or otherwise in form and substance reasonably acceptable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Transaction Documents</w:t>
      </w:r>
      <w:r>
        <w:rPr>
          <w:rFonts w:ascii="Times New Roman;Times;Serif" w:hAnsi="Times New Roman;Times;Serif"/>
          <w:b w:val="false"/>
          <w:i w:val="false"/>
          <w:caps w:val="false"/>
          <w:smallCaps w:val="false"/>
          <w:sz w:val="20"/>
        </w:rPr>
        <w:t>” means this Agreement, the Ancillary Documents and the A&amp;R LLCA (upon execution thereof), the Seller Parent Guaranty and the Purchaser Parent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Transaction Expenses</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all unpaid costs, fees and expenses as of Closing for the negotiation, execution or delivery of this Agreement or any Transaction Document, or for the performance of the actions required at the consummation of the Closing existing on or prior to the Closing Date, but only to the extent such costs, fees and expenses are payable or reimbursable by the Target Company or any Acquired Company, including the fees, costs, disbursements and expenses of advisors with respect thereto;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all liabilities of the Target Company or any Acquired Company under or in connection with any severance or retention arrangements, stay bonuses, incentive bonuses, transaction bonuses, termination and change of control arrangements and similar obligations that exist on or prior to the Closing Date and that are owed or that will be triggered, either automatically or in combination with any other event, in whole or in part by the consummation of the Closing;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all fees and expenses, if any, incurred by the Target Company or any Acquired Company on or prior to the Closing Date in connection with obtaining the Seller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Transfer Taxes</w:t>
      </w:r>
      <w:r>
        <w:rPr>
          <w:rFonts w:ascii="Times New Roman;Times;Serif" w:hAnsi="Times New Roman;Times;Serif"/>
          <w:b w:val="false"/>
          <w:i w:val="false"/>
          <w:caps w:val="false"/>
          <w:smallCaps w:val="false"/>
          <w:sz w:val="20"/>
        </w:rPr>
        <w:t>” means any and all transfer Taxes (excluding Taxes measured in whole or in part by net income), including sales, use, real property transfer, recording, documentary, stamp, registration, stock, excise, conveyance, gross receipts, business and occupation, securities transactions, notarial, filing, permit, license, authorization and similar Taxes, fees, duties, levies, customs, tariffs, imposts, assessments, obligations and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Treasury Regulations</w:t>
      </w:r>
      <w:r>
        <w:rPr>
          <w:rFonts w:ascii="Times New Roman;Times;Serif" w:hAnsi="Times New Roman;Times;Serif"/>
          <w:b w:val="false"/>
          <w:i w:val="false"/>
          <w:caps w:val="false"/>
          <w:smallCaps w:val="false"/>
          <w:sz w:val="20"/>
        </w:rPr>
        <w:t>” means the final and temporary regulations promulgated by the U.S. Department of Treasury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       </w:t>
      </w:r>
      <w:r>
        <w:rPr>
          <w:rFonts w:ascii="Times New Roman;Times;Serif" w:hAnsi="Times New Roman;Times;Serif"/>
          <w:b/>
          <w:i/>
          <w:caps w:val="false"/>
          <w:smallCaps w:val="false"/>
          <w:sz w:val="20"/>
        </w:rPr>
        <w:t>Rules of Interpretation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Construction</w:t>
      </w:r>
      <w:r>
        <w:rPr>
          <w:rFonts w:ascii="Times New Roman;Times;Serif" w:hAnsi="Times New Roman;Times;Serif"/>
          <w:b w:val="false"/>
          <w:i w:val="false"/>
          <w:caps w:val="false"/>
          <w:smallCaps w:val="false"/>
          <w:sz w:val="20"/>
        </w:rPr>
        <w:t>. As used herein, the singular shall include the plural, the masculine gender shall include the feminine and neuter and the neuter gender shall include the masculine and feminine unless the context otherwise indicates.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References</w:t>
      </w:r>
      <w:r>
        <w:rPr>
          <w:rFonts w:ascii="Times New Roman;Times;Serif" w:hAnsi="Times New Roman;Times;Serif"/>
          <w:b w:val="false"/>
          <w:i w:val="false"/>
          <w:caps w:val="false"/>
          <w:smallCaps w:val="false"/>
          <w:sz w:val="20"/>
        </w:rPr>
        <w:t>. References to Articles and Sections are intended to refer to Articles and Sections of this Agreement, and all references to Annexes, Exhibits and Schedules are intended to refer to Annexes, Exhibits and Schedules attached to this Agreement, each of which is made a part of this Agreement for all purposes. The terms “include,” “includes” and “including” mean “including, without limitation” and “including but not limited to.”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amended and restated,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Accounting Terms</w:t>
      </w:r>
      <w:r>
        <w:rPr>
          <w:rFonts w:ascii="Times New Roman;Times;Serif" w:hAnsi="Times New Roman;Times;Serif"/>
          <w:b w:val="false"/>
          <w:i w:val="false"/>
          <w:caps w:val="false"/>
          <w:smallCaps w:val="false"/>
          <w:sz w:val="20"/>
        </w:rPr>
        <w:t>. As used in this Agreement and in any certificate or other documents made or delivered pursuant hereto, 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t>SALE OF MEMBERSHIP INTERESTS AND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2.01.       </w:t>
      </w:r>
      <w:r>
        <w:rPr>
          <w:rFonts w:ascii="Times New Roman;Times;Serif" w:hAnsi="Times New Roman;Times;Serif"/>
          <w:b/>
          <w:i/>
          <w:caps w:val="false"/>
          <w:smallCaps w:val="false"/>
          <w:sz w:val="20"/>
        </w:rPr>
        <w:t>Purchase and Sale</w:t>
      </w:r>
      <w:r>
        <w:rPr>
          <w:rFonts w:ascii="Times New Roman;Times;Serif" w:hAnsi="Times New Roman;Times;Serif"/>
          <w:b w:val="false"/>
          <w:i w:val="false"/>
          <w:caps w:val="false"/>
          <w:smallCaps w:val="false"/>
          <w:sz w:val="20"/>
        </w:rPr>
        <w:t xml:space="preserve">. Seller agrees to sell to Purchaser, and Purchaser agrees to purchase from Seller, all of the right, title and interest of Seller in and to the Acquired Interests at the Closing on the terms and subject to the conditions set forth in this Agreement. In consideration for the sale, transfer and delivery of all of the Acquired Interests to Purchaser, Purchaser shall pay to Seller, or otherwise contribute in the manner specified pursuant to the Financing Agreement, in either case, in accordance with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 an aggregate amount equal to $230,099,506.00 (the “</w:t>
      </w:r>
      <w:r>
        <w:rPr>
          <w:rFonts w:ascii="Times New Roman;Times;Serif" w:hAnsi="Times New Roman;Times;Serif"/>
          <w:b w:val="false"/>
          <w:i/>
          <w:caps w:val="false"/>
          <w:smallCaps w:val="false"/>
          <w:sz w:val="20"/>
        </w:rPr>
        <w:t>Base Price</w:t>
      </w:r>
      <w:r>
        <w:rPr>
          <w:rFonts w:ascii="Times New Roman;Times;Serif" w:hAnsi="Times New Roman;Times;Serif"/>
          <w:b w:val="false"/>
          <w:i w:val="false"/>
          <w:caps w:val="false"/>
          <w:smallCaps w:val="false"/>
          <w:sz w:val="20"/>
        </w:rPr>
        <w:t xml:space="preserve">”) which shall be subject to adjustment in accordance with </w:t>
      </w:r>
      <w:r>
        <w:rPr>
          <w:rFonts w:ascii="Times New Roman;Times;Serif" w:hAnsi="Times New Roman;Times;Serif"/>
          <w:b w:val="false"/>
          <w:i/>
          <w:caps w:val="false"/>
          <w:smallCaps w:val="false"/>
          <w:sz w:val="20"/>
        </w:rPr>
        <w:t>Section 2.04(a) </w:t>
      </w:r>
      <w:r>
        <w:rPr>
          <w:rFonts w:ascii="Times New Roman;Times;Serif" w:hAnsi="Times New Roman;Times;Serif"/>
          <w:b w:val="false"/>
          <w:i w:val="false"/>
          <w:caps w:val="false"/>
          <w:smallCaps w:val="false"/>
          <w:sz w:val="20"/>
        </w:rPr>
        <w:t>(such adjusted Base Price, the “</w:t>
      </w:r>
      <w:r>
        <w:rPr>
          <w:rFonts w:ascii="Times New Roman;Times;Serif" w:hAnsi="Times New Roman;Times;Serif"/>
          <w:b w:val="false"/>
          <w:i/>
          <w:caps w:val="false"/>
          <w:smallCaps w:val="false"/>
          <w:sz w:val="20"/>
        </w:rPr>
        <w:t>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       </w:t>
      </w:r>
      <w:r>
        <w:rPr>
          <w:rFonts w:ascii="Times New Roman;Times;Serif" w:hAnsi="Times New Roman;Times;Serif"/>
          <w:b/>
          <w:i/>
          <w:caps w:val="false"/>
          <w:smallCaps w:val="false"/>
          <w:sz w:val="20"/>
        </w:rPr>
        <w:t>Payment of 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terms and subject to the conditions hereinafter set forth, in consideration of the delivery by Seller of the Acquired Interests, Purchaser shall pay to Seller the amounts described in clauses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(ii) </w:t>
      </w:r>
      <w:r>
        <w:rPr>
          <w:rFonts w:ascii="Times New Roman;Times;Serif" w:hAnsi="Times New Roman;Times;Serif"/>
          <w:b w:val="false"/>
          <w:i w:val="false"/>
          <w:caps w:val="false"/>
          <w:smallCaps w:val="false"/>
          <w:sz w:val="20"/>
        </w:rPr>
        <w:t xml:space="preserve">of this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 (the “</w:t>
      </w:r>
      <w:r>
        <w:rPr>
          <w:rFonts w:ascii="Times New Roman;Times;Serif" w:hAnsi="Times New Roman;Times;Serif"/>
          <w:b w:val="false"/>
          <w:i/>
          <w:caps w:val="false"/>
          <w:smallCaps w:val="false"/>
          <w:sz w:val="20"/>
        </w:rPr>
        <w:t>Purchase Price Payments</w:t>
      </w:r>
      <w:r>
        <w:rPr>
          <w:rFonts w:ascii="Times New Roman;Times;Serif" w:hAnsi="Times New Roman;Times;Serif"/>
          <w:b w:val="false"/>
          <w:i w:val="false"/>
          <w:caps w:val="false"/>
          <w:smallCaps w:val="false"/>
          <w:sz w:val="20"/>
        </w:rPr>
        <w:t>”), at the times specified therein, in each case, by wire transfer of immediately available funds to the Equity Capital Contribution Account for application in accordance with Section 7.5(a) of the Financing Agreement, or to such other account or accounts as designated by Seller, in accordance with written notice delivered by Seller to Purchaser not less than two (2) Business Days prior to the date such Purchase Price Payment is required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the Closing, Purchaser shall pay to Seller an amount equal to [***] of the Base Price (the “</w:t>
      </w:r>
      <w:r>
        <w:rPr>
          <w:rFonts w:ascii="Times New Roman;Times;Serif" w:hAnsi="Times New Roman;Times;Serif"/>
          <w:b w:val="false"/>
          <w:i/>
          <w:caps w:val="false"/>
          <w:smallCaps w:val="false"/>
          <w:sz w:val="20"/>
        </w:rPr>
        <w:t>MC Payment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later than the Project SC Funding Date, Purchaser shall pay to Seller a dollar amount equal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the Base Price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MC Payment (the “</w:t>
      </w:r>
      <w:r>
        <w:rPr>
          <w:rFonts w:ascii="Times New Roman;Times;Serif" w:hAnsi="Times New Roman;Times;Serif"/>
          <w:b w:val="false"/>
          <w:i/>
          <w:caps w:val="false"/>
          <w:smallCaps w:val="false"/>
          <w:sz w:val="20"/>
        </w:rPr>
        <w:t>SC Payment</w:t>
      </w:r>
      <w:r>
        <w:rPr>
          <w:rFonts w:ascii="Times New Roman;Times;Serif" w:hAnsi="Times New Roman;Times;Serif"/>
          <w:b w:val="false"/>
          <w:i w:val="false"/>
          <w:caps w:val="false"/>
          <w:smallCaps w:val="false"/>
          <w:sz w:val="20"/>
        </w:rPr>
        <w:t>” and the date such payment becomes due and payable, the “</w:t>
      </w:r>
      <w:r>
        <w:rPr>
          <w:rFonts w:ascii="Times New Roman;Times;Serif" w:hAnsi="Times New Roman;Times;Serif"/>
          <w:b w:val="false"/>
          <w:i/>
          <w:caps w:val="false"/>
          <w:smallCaps w:val="false"/>
          <w:sz w:val="20"/>
        </w:rPr>
        <w:t>SC Payment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avoidance of doubt, on the earlier of the “Discharge Date” and the “Term Conversion Date” (in each case, as defined in the Financing Agreement), the Parties agree that any amounts remaining on deposit in the Equity Capital Contribution Account, as contemplated by Section 7.5(a) of the Financing Agreement, shall be promptly transferred to Seller (or its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2.03.       </w:t>
      </w:r>
      <w:r>
        <w:rPr>
          <w:rFonts w:ascii="Times New Roman;Times;Serif" w:hAnsi="Times New Roman;Times;Serif"/>
          <w:b/>
          <w:i/>
          <w:caps w:val="false"/>
          <w:smallCaps w:val="false"/>
          <w:sz w:val="20"/>
        </w:rPr>
        <w:t>Closing; Additional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and conditions of this Agreement, the closing of the transactions described in </w:t>
      </w:r>
      <w:r>
        <w:rPr>
          <w:rFonts w:ascii="Times New Roman;Times;Serif" w:hAnsi="Times New Roman;Times;Serif"/>
          <w:b w:val="false"/>
          <w:i/>
          <w:caps w:val="false"/>
          <w:smallCaps w:val="false"/>
          <w:sz w:val="20"/>
        </w:rPr>
        <w:t>Section 2.01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Closing</w:t>
      </w:r>
      <w:r>
        <w:rPr>
          <w:rFonts w:ascii="Times New Roman;Times;Serif" w:hAnsi="Times New Roman;Times;Serif"/>
          <w:b w:val="false"/>
          <w:i w:val="false"/>
          <w:caps w:val="false"/>
          <w:smallCaps w:val="false"/>
          <w:sz w:val="20"/>
        </w:rPr>
        <w:t>”) will take place remotely via the electronic exchange of documents and signatures no later than: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two (2) Business Days following the fulfillment or waiver of the conditions set forth in </w:t>
      </w:r>
      <w:r>
        <w:rPr>
          <w:rFonts w:ascii="Times New Roman;Times;Serif" w:hAnsi="Times New Roman;Times;Serif"/>
          <w:b w:val="false"/>
          <w:i/>
          <w:caps w:val="false"/>
          <w:smallCaps w:val="false"/>
          <w:sz w:val="20"/>
        </w:rPr>
        <w:t>Article 4</w:t>
      </w:r>
      <w:r>
        <w:rPr>
          <w:rFonts w:ascii="Times New Roman;Times;Serif" w:hAnsi="Times New Roman;Times;Serif"/>
          <w:b w:val="false"/>
          <w:i w:val="false"/>
          <w:caps w:val="false"/>
          <w:smallCaps w:val="false"/>
          <w:sz w:val="20"/>
        </w:rPr>
        <w:t xml:space="preserve"> (other than those conditions that by their nature are to be satisfied on the Closing Date);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such other time as may be determined by mutual agreement of Seller and Purchaser (the day on which the Closing takes place being the “</w:t>
      </w:r>
      <w:r>
        <w:rPr>
          <w:rFonts w:ascii="Times New Roman;Times;Serif" w:hAnsi="Times New Roman;Times;Serif"/>
          <w:b w:val="false"/>
          <w:i/>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Closing, the following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Purchaser shall pay the MC Payment by wire transfer of immediately available funds to the account or accounts as designated by Seller in writing pursuant to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Party shall deliver, or cause to be delivered, to the other Party the certificates and other deliverables pursuant to </w:t>
      </w:r>
      <w:r>
        <w:rPr>
          <w:rFonts w:ascii="Times New Roman;Times;Serif" w:hAnsi="Times New Roman;Times;Serif"/>
          <w:b w:val="false"/>
          <w:i/>
          <w:caps w:val="false"/>
          <w:smallCaps w:val="false"/>
          <w:sz w:val="20"/>
        </w:rPr>
        <w:t>Article 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execution by both Parties of the Assignment of Membership Interests and all other agreements, documents, instruments or certificates required to be delivered at or prior to the Closing pursuant to </w:t>
      </w:r>
      <w:r>
        <w:rPr>
          <w:rFonts w:ascii="Times New Roman;Times;Serif" w:hAnsi="Times New Roman;Times;Serif"/>
          <w:b w:val="false"/>
          <w:i/>
          <w:caps w:val="false"/>
          <w:smallCaps w:val="false"/>
          <w:sz w:val="20"/>
        </w:rPr>
        <w:t>Article 4</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applicable, Seller shall deliver to Purchaser a certificate or certificates representing the Acquired Interests, duly endorsed for transfer to Purchaser or accompanied by one or more membership interests powers duly endorsed for transfer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the SC Payment Date, Purchaser shall pay the SC Payment by wire transfer of immediately available funds to the account or accounts as designated by Seller in writing pursuant to clause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caps w:val="false"/>
          <w:smallCaps w:val="false"/>
          <w:sz w:val="20"/>
        </w:rPr>
        <w:t>Section 2.02(b)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2.04.        </w:t>
      </w:r>
      <w:r>
        <w:rPr>
          <w:rFonts w:ascii="Times New Roman;Times;Serif" w:hAnsi="Times New Roman;Times;Serif"/>
          <w:b/>
          <w:i/>
          <w:caps w:val="false"/>
          <w:smallCaps w:val="false"/>
          <w:sz w:val="20"/>
        </w:rPr>
        <w:t>Adjusted Purchase Price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SC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Adjusted Purchase Price Amount is positive, then, no later than ten (10) Business Days following the SC Payment Date, Purchaser shall pay to Seller a dollar amount equal to the sum, in the aggregate, of the Adjusted Purchase Price Amount, which amount shall be paid to such account or accounts as designated by Seller, in accordance with written notice delivered by Seller to Purchaser not less than two (2) Business Days prior to the date such payment is required to be made;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Adjusted Purchase Price Amount is negative, then, no later than ten (10) Business Days following the SC Payment Date, Seller shall pay to Purchaser a dollar amount equal to the sum, in the aggregate, of the Adjusted Purchase Price Amount, which amount shall be paid to such account or accounts as designated by Purchaser, in accordance with written notice delivered by Purchaser to Seller not less than two (2) Business Days prior to the date such payment is required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payments made under this </w:t>
      </w:r>
      <w:r>
        <w:rPr>
          <w:rFonts w:ascii="Times New Roman;Times;Serif" w:hAnsi="Times New Roman;Times;Serif"/>
          <w:b w:val="false"/>
          <w:i/>
          <w:caps w:val="false"/>
          <w:smallCaps w:val="false"/>
          <w:sz w:val="20"/>
        </w:rPr>
        <w:t>Section 2.04</w:t>
      </w:r>
      <w:r>
        <w:rPr>
          <w:rFonts w:ascii="Times New Roman;Times;Serif" w:hAnsi="Times New Roman;Times;Serif"/>
          <w:b w:val="false"/>
          <w:i w:val="false"/>
          <w:caps w:val="false"/>
          <w:smallCaps w:val="false"/>
          <w:sz w:val="20"/>
        </w:rPr>
        <w:t xml:space="preserve"> will be treated as an adjustment to the Base Price for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2.05.       </w:t>
      </w:r>
      <w:r>
        <w:rPr>
          <w:rFonts w:ascii="Times New Roman;Times;Serif" w:hAnsi="Times New Roman;Times;Serif"/>
          <w:b/>
          <w:i/>
          <w:caps w:val="false"/>
          <w:smallCaps w:val="false"/>
          <w:sz w:val="20"/>
        </w:rPr>
        <w:t>Certain Proceeds</w:t>
      </w:r>
      <w:r>
        <w:rPr>
          <w:rFonts w:ascii="Times New Roman;Times;Serif" w:hAnsi="Times New Roman;Times;Serif"/>
          <w:b w:val="false"/>
          <w:i w:val="false"/>
          <w:caps w:val="false"/>
          <w:smallCaps w:val="false"/>
          <w:sz w:val="20"/>
        </w:rPr>
        <w:t>. Notwithstanding anything herein to the contrary, in the event that any time following the Closing Date, Purchaser (if Purchaser receives any such payment separately and not from any Acquired Company) or any Acquired Company receives any payment with respect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liquidated damages received in connection with the development, design, construction, installation or commissioning of the Project through “Substantial Completion” (as such term is defined in the EPC Contract), and that are not contemplated to be receivable by any Acquired Company in the Base Case Model, including liquidated damages received as a deduction or as a setoff from amounts otherwise payable by the Project Company under any contract to which it is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term conversion or full repayment of the loans under the Financing Documents has occurred,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proceeds of any loan drawn under the Financing Documents on or prior to the date that is six (6) months after the Project SC Funding Date,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proceeds received under the Tax Equity Documents on or prior to the date that is six (6) months after the Project SC Funding Date, or (iii) any proceeds received under any “Interest Rate Agreement” (as defined in the Financing Agreement) by any Acquired Company, which proceeds relate to the breakage or other termination of any such Interest Rate Agreement in connection with the term conversion or full repayment of the loans under the Financing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occurrence of the earlier of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“Discharge Date” (as defined in the Financing Agreement),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“Term Conversion Date” (as defined in the Financing Agreement) all amounts remaining on deposit in the Equity Capital Contribution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not already included in the Base Case Model, any amount received by any Acquired Company in respect of the reimbursement for any cost or expense incurred by or on behalf of such Acquired Company in connection with the development, design, construction, installation or commissioning of the Project through “Substantial Completion” (as such term is defined in the EPC Contract), including any reimbursement of amounts paid under any interconnection agreement or related contract, or any engineering, procurement and construction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amounts released from any completion escrow account, or otherwise from reserves, in each case, funded by or on behalf of Seller or, prior to the Closing,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not already included in the Base Case Model, net proceeds from the sale of all test energy generated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amounts released from any completion escrow account funded by or on behalf of Seller or, prior to the Closing, any Acquired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other amounts described in any of clauses (i) through (vi) of Section 5.07(a) of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Purchaser shall cause the applicable Acquired Company to promptly refund or pay such amount to Seller or its designee (or otherwise at the times and in the manner as specified in Section 5.07 of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2.06.       </w:t>
      </w:r>
      <w:r>
        <w:rPr>
          <w:rFonts w:ascii="Times New Roman;Times;Serif" w:hAnsi="Times New Roman;Times;Serif"/>
          <w:b/>
          <w:i/>
          <w:caps w:val="false"/>
          <w:smallCaps w:val="false"/>
          <w:sz w:val="20"/>
        </w:rPr>
        <w:t>Tax Reporting of Transaction</w:t>
      </w:r>
      <w:r>
        <w:rPr>
          <w:rFonts w:ascii="Times New Roman;Times;Serif" w:hAnsi="Times New Roman;Times;Serif"/>
          <w:b w:val="false"/>
          <w:i w:val="false"/>
          <w:caps w:val="false"/>
          <w:smallCaps w:val="false"/>
          <w:sz w:val="20"/>
        </w:rPr>
        <w:t>. For federal income tax purposes, the Parties agree to report the transactions effectuated by this Agreement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Immediately prior to the Closing, each of the Target Company, Class B HoldCo, and TE HoldCo shall be treated as a disregarded entity separate from Seller (or if Seller is a disregarded entity for U.S. federal income tax purposes, the Person or Persons owning Seller that are not disregarded for such purposes)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acknowledge that for U.S. federal, and applicable state and local income Tax purposes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purchase and sale of the Acquired Interests contemplated by this Agreement will be treated, in accordance with Revenue Ruling 99-5, Situation 1, as a sale by Seller and a purchase by Purchaser of a portion of the Class B membership interests in the TE HoldCo followed by a contribution pursuant to Section 721 of the Code by each of Purchaser and Seller of their respective portions of the Class B membership interests in the TE HoldCo to the Target Company in exchange for the Acquired Interests or the Retained Interests, as applicable, as a result of which the Target Company shall become a partnership between Seller and Purchaser for U.S. federal income tax purposes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Seller Distribution shall be disregarded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agree that, for U.S. federal income Tax purposes, and any applicable state or local income Tax purposes, the Purchase Price, as adjusted under this Agreement, plus any Liabilities or other items treated as amounts realized for U.S. federal income Tax purposes, shall be allocated among the assets of the TE HoldCo in accordance with Section 1060 of the Code and the Treasury Regulations promulgated thereunder (including the application of Sections 741, 751, 752, and 755 of the Code), including for purposes of the statement required under Treasury Regulation Section 1.751-1(a)(3) and in each case in a manner consistent with the appraisal and the related cost segregation report obtained pursuant to the Tax Equity Agreements (the “</w:t>
      </w:r>
      <w:r>
        <w:rPr>
          <w:rFonts w:ascii="Times New Roman;Times;Serif" w:hAnsi="Times New Roman;Times;Serif"/>
          <w:b w:val="false"/>
          <w:i/>
          <w:caps w:val="false"/>
          <w:smallCaps w:val="false"/>
          <w:sz w:val="20"/>
        </w:rPr>
        <w:t>Allocation Schedule</w:t>
      </w:r>
      <w:r>
        <w:rPr>
          <w:rFonts w:ascii="Times New Roman;Times;Serif" w:hAnsi="Times New Roman;Times;Serif"/>
          <w:b w:val="false"/>
          <w:i w:val="false"/>
          <w:caps w:val="false"/>
          <w:smallCaps w:val="false"/>
          <w:sz w:val="20"/>
        </w:rPr>
        <w:t>”). On or before the 30th day after the Closing Date, Purchaser shall deliver to Seller its proposed Allocation Schedule for Seller’s review and comment. Purchaser will work in good faith to incorporate Seller’s reasonable comments, at which time the Allocation Schedule shall become binding for the Parties. Seller, Purchaser and their respective Affiliates shall report the transactions contemplated hereby on all Tax Returns, including IRS Form 8594, in a manner consistent with the Allocation Schedule. Seller and Purchaser agree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be bound by the Allocation Schedule agreed upon under this </w:t>
      </w:r>
      <w:r>
        <w:rPr>
          <w:rFonts w:ascii="Times New Roman;Times;Serif" w:hAnsi="Times New Roman;Times;Serif"/>
          <w:b w:val="false"/>
          <w:i/>
          <w:caps w:val="false"/>
          <w:smallCaps w:val="false"/>
          <w:sz w:val="20"/>
        </w:rPr>
        <w:t>Section 2.06(c)</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prepare and file, and cause their respective Affiliates to prepare and file, all Tax Returns (including IRS Form 8594) in a manner consistent with the Allocation Schedule;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take no position, and cause their respective Affiliates to take no position, inconsistent with the Allocation Schedule in any Tax Return,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the making of the initial capital contribution to be made by the Tax Equity Investor to the TE HoldCo, and the issuance to the Tax Equity Investor of the Class A membership interests in the TE HoldCo pursuant to the Tax Equity ECCA on the Project MC Funding Date, and the making of the capital contribution to be made by the Class B HoldCo to the TE HoldCo, which shall be deemed to occur prior to the Closing, in accordance with Revenue Ruling 99-5, Situation 2, each of Seller and the Tax Equity Investor is treated as contributing cash or property to the TE HoldCo in exchange for an interest in the TE HoldCo, as a result of which the TE HoldCo shall become a partnership between Seller and the Tax Equity Investor for U.S. federal income tax purposes;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the date of the Project MC Funding, the TE HoldCo will acquire, and the Project HoldCo will sell, all the limited liability company membership interests in the Pledgor Company (and, indirectly, all the limited liability company interests in the Project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3.01.       </w:t>
      </w:r>
      <w:r>
        <w:rPr>
          <w:rFonts w:ascii="Times New Roman;Times;Serif" w:hAnsi="Times New Roman;Times;Serif"/>
          <w:b/>
          <w:i/>
          <w:caps w:val="false"/>
          <w:smallCaps w:val="false"/>
          <w:sz w:val="20"/>
        </w:rPr>
        <w:t>Representations and Warranties with respect to Seller and the Acquired Companies</w:t>
      </w:r>
      <w:r>
        <w:rPr>
          <w:rFonts w:ascii="Times New Roman;Times;Serif" w:hAnsi="Times New Roman;Times;Serif"/>
          <w:b w:val="false"/>
          <w:i w:val="false"/>
          <w:caps w:val="false"/>
          <w:smallCaps w:val="false"/>
          <w:sz w:val="20"/>
        </w:rPr>
        <w:t>. Seller hereby represents and warrants to Purchaser, as of the Execution Date and the Closing Date, as follows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representation and warranty set forth in this </w:t>
      </w:r>
      <w:r>
        <w:rPr>
          <w:rFonts w:ascii="Times New Roman;Times;Serif" w:hAnsi="Times New Roman;Times;Serif"/>
          <w:b w:val="false"/>
          <w:i/>
          <w:caps w:val="false"/>
          <w:smallCaps w:val="false"/>
          <w:sz w:val="20"/>
        </w:rPr>
        <w:t>Section 3.01</w:t>
      </w:r>
      <w:r>
        <w:rPr>
          <w:rFonts w:ascii="Times New Roman;Times;Serif" w:hAnsi="Times New Roman;Times;Serif"/>
          <w:b w:val="false"/>
          <w:i w:val="false"/>
          <w:caps w:val="false"/>
          <w:smallCaps w:val="false"/>
          <w:sz w:val="20"/>
        </w:rPr>
        <w:t xml:space="preserve"> and expressly stated to be made only as of a specified date shall be made solely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Existence</w:t>
      </w:r>
      <w:r>
        <w:rPr>
          <w:rFonts w:ascii="Times New Roman;Times;Serif" w:hAnsi="Times New Roman;Times;Serif"/>
          <w:b w:val="false"/>
          <w:i w:val="false"/>
          <w:caps w:val="false"/>
          <w:smallCaps w:val="false"/>
          <w:sz w:val="20"/>
        </w:rPr>
        <w:t>. Seller is a limited liability company duly formed, validly existing and in good standing under the Laws of the State of Delaware. Seller has full power and authority to execute and deliver this Agreement and the other Transaction Documents to be executed and delivered by Seller hereunder, and to perform its obligations hereunder and thereunder and to consummate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Authority</w:t>
      </w:r>
      <w:r>
        <w:rPr>
          <w:rFonts w:ascii="Times New Roman;Times;Serif" w:hAnsi="Times New Roman;Times;Serif"/>
          <w:b w:val="false"/>
          <w:i w:val="false"/>
          <w:caps w:val="false"/>
          <w:smallCaps w:val="false"/>
          <w:sz w:val="20"/>
        </w:rPr>
        <w:t>. All actions or proceedings necessary to authorize the execution and delivery by Seller of this Agreement and the other Transaction Documents, and the performance by Seller of its obligations hereunder and thereunder have been duly and validly taken. This Agreement and, at the Closing, each other Transaction Document,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 Consent</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3.01(c)</w:t>
      </w:r>
      <w:r>
        <w:rPr>
          <w:rFonts w:ascii="Times New Roman;Times;Serif" w:hAnsi="Times New Roman;Times;Serif"/>
          <w:b w:val="false"/>
          <w:i w:val="false"/>
          <w:caps w:val="false"/>
          <w:smallCaps w:val="false"/>
          <w:sz w:val="20"/>
        </w:rPr>
        <w:t> of the Disclosure Schedules (the “</w:t>
      </w:r>
      <w:r>
        <w:rPr>
          <w:rFonts w:ascii="Times New Roman;Times;Serif" w:hAnsi="Times New Roman;Times;Serif"/>
          <w:b w:val="false"/>
          <w:i/>
          <w:caps w:val="false"/>
          <w:smallCaps w:val="false"/>
          <w:sz w:val="20"/>
        </w:rPr>
        <w:t>Seller Consents</w:t>
      </w:r>
      <w:r>
        <w:rPr>
          <w:rFonts w:ascii="Times New Roman;Times;Serif" w:hAnsi="Times New Roman;Times;Serif"/>
          <w:b w:val="false"/>
          <w:i w:val="false"/>
          <w:caps w:val="false"/>
          <w:smallCaps w:val="false"/>
          <w:sz w:val="20"/>
        </w:rPr>
        <w:t>”), and except as would not, individually or in the aggregate, reasonably be expected to be materially adverse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ability of Seller to consummate the transactions contemplated by this Agreement or to perform its obligations hereunder,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Acquired Companies, taken as a whole,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No Conflicts</w:t>
      </w:r>
      <w:r>
        <w:rPr>
          <w:rFonts w:ascii="Times New Roman;Times;Serif" w:hAnsi="Times New Roman;Times;Serif"/>
          <w:b w:val="false"/>
          <w:i w:val="false"/>
          <w:caps w:val="false"/>
          <w:smallCaps w:val="false"/>
          <w:sz w:val="20"/>
        </w:rPr>
        <w:t>. The execution, delivery and performance of this Agreement and the other Transaction Documents by Seller does not and will not: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conflict with, result in a breach of, or constitute a default under, the Constitutive Documents of Seller or any Acquired Company or any material Contract to which Seller, or any Company Contract to which any Acquired Company, is a party;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result in the creation of any Lien upon any of the Acquired Interests, any equity interests of any Acquired Company or any assets or properties of any Acquired Company;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accelerate or modify, or give any party the right to accelerate or modify, the time within which, or the terms under which, any duties or obligations are to be performed by Seller or any Acquired Company or any rights or benefits are to be received by any Person, under any Contract to which Seller or any Acquired Company is a party; or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violate in any material respect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Regulatory Matters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3.01(e) </w:t>
      </w:r>
      <w:r>
        <w:rPr>
          <w:rFonts w:ascii="Times New Roman;Times;Serif" w:hAnsi="Times New Roman;Times;Serif"/>
          <w:b w:val="false"/>
          <w:i w:val="false"/>
          <w:caps w:val="false"/>
          <w:smallCaps w:val="false"/>
          <w:sz w:val="20"/>
        </w:rPr>
        <w:t>of the Disclosure Schedules (“</w:t>
      </w:r>
      <w:r>
        <w:rPr>
          <w:rFonts w:ascii="Times New Roman;Times;Serif" w:hAnsi="Times New Roman;Times;Serif"/>
          <w:b w:val="false"/>
          <w:i/>
          <w:caps w:val="false"/>
          <w:smallCaps w:val="false"/>
          <w:sz w:val="20"/>
        </w:rPr>
        <w:t>Seller Approvals</w:t>
      </w:r>
      <w:r>
        <w:rPr>
          <w:rFonts w:ascii="Times New Roman;Times;Serif" w:hAnsi="Times New Roman;Times;Serif"/>
          <w:b w:val="false"/>
          <w:i w:val="false"/>
          <w:caps w:val="false"/>
          <w:smallCaps w:val="false"/>
          <w:sz w:val="20"/>
        </w:rPr>
        <w:t>”), no Governmental Approval is required on the part of Seller or any Acquired Company in connection with the execution, delivery and performance of this Agreement or the consummation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Legal Proceedings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caps w:val="false"/>
          <w:smallCaps w:val="false"/>
          <w:sz w:val="20"/>
        </w:rPr>
        <w:t>Schedule 3.01(f)</w:t>
      </w:r>
      <w:r>
        <w:rPr>
          <w:rFonts w:ascii="Times New Roman;Times;Serif" w:hAnsi="Times New Roman;Times;Serif"/>
          <w:b w:val="false"/>
          <w:i w:val="false"/>
          <w:caps w:val="false"/>
          <w:smallCaps w:val="false"/>
          <w:sz w:val="20"/>
        </w:rPr>
        <w:t xml:space="preserve"> of the Disclosure Schedules, and except for Actions or Proceedings in respect of Environmental Laws that are governed exclusively by </w:t>
      </w:r>
      <w:r>
        <w:rPr>
          <w:rFonts w:ascii="Times New Roman;Times;Serif" w:hAnsi="Times New Roman;Times;Serif"/>
          <w:b w:val="false"/>
          <w:i/>
          <w:caps w:val="false"/>
          <w:smallCaps w:val="false"/>
          <w:sz w:val="20"/>
        </w:rPr>
        <w:t>Section 3.01(p)(ii)</w:t>
      </w:r>
      <w:r>
        <w:rPr>
          <w:rFonts w:ascii="Times New Roman;Times;Serif" w:hAnsi="Times New Roman;Times;Serif"/>
          <w:b w:val="false"/>
          <w:i w:val="false"/>
          <w:caps w:val="false"/>
          <w:smallCaps w:val="false"/>
          <w:sz w:val="20"/>
        </w:rPr>
        <w:t>, there are no Actions or Proceedings pending or, to the Knowledge of Seller, threatened as of the Execution Date against Seller or any Acquired Company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affect Seller or any Acquired Company, or any of their assets or properties (including the Project), except, solely in respect of Seller, which would not reasonably be expected to have a material adverse effect on Seller’s ability to perform under this Agreement;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would reasonably be expected to result in the issuance of an Order restraining, enjoining or otherwise prohibiting or making illegal the consummation of any of the transactions contemplated by this Agreement. None of Seller or any Acquired Company is subject to any Order which materially restricts the operation of its business or which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Brokers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3.01(g)</w:t>
      </w:r>
      <w:r>
        <w:rPr>
          <w:rFonts w:ascii="Times New Roman;Times;Serif" w:hAnsi="Times New Roman;Times;Serif"/>
          <w:b w:val="false"/>
          <w:i w:val="false"/>
          <w:caps w:val="false"/>
          <w:smallCaps w:val="false"/>
          <w:sz w:val="20"/>
        </w:rPr>
        <w:t> of the Disclosure Schedules, no Person has any claim against Seller or any Acquired Company for a finder’s fee, brokerage commission or similar payment directly or indirectly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Compliance with Laws</w:t>
      </w:r>
      <w:r>
        <w:rPr>
          <w:rFonts w:ascii="Times New Roman;Times;Serif" w:hAnsi="Times New Roman;Times;Serif"/>
          <w:b w:val="false"/>
          <w:i w:val="false"/>
          <w:caps w:val="false"/>
          <w:smallCaps w:val="false"/>
          <w:sz w:val="20"/>
        </w:rPr>
        <w:t xml:space="preserve">. Neither Seller nor any Acquired Company is in material violation of any material Law or Order applicable to the Acquired Companies or the Project, or by which any of the Acquired Interests are bound or subject. Notwithstanding the foregoing, compliance with Environmental Laws is exclusively and solely governed by </w:t>
      </w:r>
      <w:r>
        <w:rPr>
          <w:rFonts w:ascii="Times New Roman;Times;Serif" w:hAnsi="Times New Roman;Times;Serif"/>
          <w:b w:val="false"/>
          <w:i/>
          <w:caps w:val="false"/>
          <w:smallCaps w:val="false"/>
          <w:sz w:val="20"/>
        </w:rPr>
        <w:t>Section 3.01(p)</w:t>
      </w:r>
      <w:r>
        <w:rPr>
          <w:rFonts w:ascii="Times New Roman;Times;Serif" w:hAnsi="Times New Roman;Times;Serif"/>
          <w:b w:val="false"/>
          <w:i w:val="false"/>
          <w:caps w:val="false"/>
          <w:smallCaps w:val="false"/>
          <w:sz w:val="20"/>
        </w:rPr>
        <w:t>. None of Seller nor any Acquired Company has received notice from any Governmental Authority of any material violation of any material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Company and the Acquired Companies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Acquired Company is a limited liability company validly existing and in good standing under the Laws of Delaware, and has full power and authority to conduct its business as and to the extent now conducted and to own, use and lease its assets. Each Acquired Company is duly qualified, licensed or admitted to do business and is in good standing in the applicable jurisdictions specified in </w:t>
      </w:r>
      <w:r>
        <w:rPr>
          <w:rFonts w:ascii="Times New Roman;Times;Serif" w:hAnsi="Times New Roman;Times;Serif"/>
          <w:b w:val="false"/>
          <w:i/>
          <w:caps w:val="false"/>
          <w:smallCaps w:val="false"/>
          <w:sz w:val="20"/>
        </w:rPr>
        <w:t>Schedule 3.01(i)</w:t>
      </w:r>
      <w:r>
        <w:rPr>
          <w:rFonts w:ascii="Times New Roman;Times;Serif" w:hAnsi="Times New Roman;Times;Serif"/>
          <w:b w:val="false"/>
          <w:i w:val="false"/>
          <w:caps w:val="false"/>
          <w:smallCaps w:val="false"/>
          <w:sz w:val="20"/>
        </w:rPr>
        <w:t> of the Disclosure Schedules, which are the only jurisdictions in which the ownership, use or leasing of such Acquired Company’s assets, or the conduct or nature of its businesses, makes such qualification, licensing or admission necessary, except in those jurisdictions where the failure to be so qualified, licensed or admitted to do business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of the issued and outstanding Acquired Interests are owned directly, beneficially and of record by Seller free and clear of all Liens, other than Permitted Equity Encumbrances and except as set forth on </w:t>
      </w:r>
      <w:r>
        <w:rPr>
          <w:rFonts w:ascii="Times New Roman;Times;Serif" w:hAnsi="Times New Roman;Times;Serif"/>
          <w:b w:val="false"/>
          <w:i/>
          <w:caps w:val="false"/>
          <w:smallCaps w:val="false"/>
          <w:sz w:val="20"/>
        </w:rPr>
        <w:t>Schedule 3.01(i)(ii)</w:t>
      </w:r>
      <w:r>
        <w:rPr>
          <w:rFonts w:ascii="Times New Roman;Times;Serif" w:hAnsi="Times New Roman;Times;Serif"/>
          <w:b w:val="false"/>
          <w:i w:val="false"/>
          <w:caps w:val="false"/>
          <w:smallCaps w:val="false"/>
          <w:sz w:val="20"/>
        </w:rPr>
        <w:t xml:space="preserve"> of the Disclosure Schedules. Except as set forth on </w:t>
      </w:r>
      <w:r>
        <w:rPr>
          <w:rFonts w:ascii="Times New Roman;Times;Serif" w:hAnsi="Times New Roman;Times;Serif"/>
          <w:b w:val="false"/>
          <w:i/>
          <w:caps w:val="false"/>
          <w:smallCaps w:val="false"/>
          <w:sz w:val="20"/>
        </w:rPr>
        <w:t>Schedule 3.01(i)(ii)</w:t>
      </w:r>
      <w:r>
        <w:rPr>
          <w:rFonts w:ascii="Times New Roman;Times;Serif" w:hAnsi="Times New Roman;Times;Serif"/>
          <w:b w:val="false"/>
          <w:i w:val="false"/>
          <w:caps w:val="false"/>
          <w:smallCaps w:val="false"/>
          <w:sz w:val="20"/>
        </w:rPr>
        <w:t xml:space="preserve"> of the Disclosure Schedules and for the ownership by the Tax Equity Investor following the consummation of the transactions contemplated by the Tax Equity ECCA, all of the issued and outstanding equity interests of the Acquired Companies (other than the Target Company) are owned directly or indirectly, beneficially and of record by the Target Company, free and clear of all Liens, other than Permitted Equity Encumbrances and except as set forth on </w:t>
      </w:r>
      <w:r>
        <w:rPr>
          <w:rFonts w:ascii="Times New Roman;Times;Serif" w:hAnsi="Times New Roman;Times;Serif"/>
          <w:b w:val="false"/>
          <w:i/>
          <w:caps w:val="false"/>
          <w:smallCaps w:val="false"/>
          <w:sz w:val="20"/>
        </w:rPr>
        <w:t>Schedule 3.01(i)(ii)</w:t>
      </w:r>
      <w:r>
        <w:rPr>
          <w:rFonts w:ascii="Times New Roman;Times;Serif" w:hAnsi="Times New Roman;Times;Serif"/>
          <w:b w:val="false"/>
          <w:i w:val="false"/>
          <w:caps w:val="false"/>
          <w:smallCaps w:val="false"/>
          <w:sz w:val="20"/>
        </w:rPr>
        <w:t> of the Disclosure Schedules. All of the equity interests of the Acquired Companies have been duly authorized, validly issued and are fully paid and non-assessable and have been issued in compliance with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name of each director and officer (or similar positions) of each Acquired Company, and the position with such Acquired Company held by each, are listed in </w:t>
      </w:r>
      <w:r>
        <w:rPr>
          <w:rFonts w:ascii="Times New Roman;Times;Serif" w:hAnsi="Times New Roman;Times;Serif"/>
          <w:b w:val="false"/>
          <w:i/>
          <w:caps w:val="false"/>
          <w:smallCaps w:val="false"/>
          <w:sz w:val="20"/>
        </w:rPr>
        <w:t>Schedule 3.01(i)(iii) </w:t>
      </w:r>
      <w:r>
        <w:rPr>
          <w:rFonts w:ascii="Times New Roman;Times;Serif" w:hAnsi="Times New Roman;Times;Serif"/>
          <w:b w:val="false"/>
          <w:i w:val="false"/>
          <w:caps w:val="false"/>
          <w:smallCaps w:val="false"/>
          <w:sz w:val="20"/>
        </w:rPr>
        <w:t>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Seller has, prior to the execution of this Agreement, delivered to Purchaser true and complete copies of the Constitutive Documents of each Acquired Company as in effect on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Except as set forth in Part I of </w:t>
      </w:r>
      <w:r>
        <w:rPr>
          <w:rFonts w:ascii="Times New Roman;Times;Serif" w:hAnsi="Times New Roman;Times;Serif"/>
          <w:b w:val="false"/>
          <w:i/>
          <w:caps w:val="false"/>
          <w:smallCaps w:val="false"/>
          <w:sz w:val="20"/>
        </w:rPr>
        <w:t>Schedule 3.01(i)(v) </w:t>
      </w:r>
      <w:r>
        <w:rPr>
          <w:rFonts w:ascii="Times New Roman;Times;Serif" w:hAnsi="Times New Roman;Times;Serif"/>
          <w:b w:val="false"/>
          <w:i w:val="false"/>
          <w:caps w:val="false"/>
          <w:smallCaps w:val="false"/>
          <w:sz w:val="20"/>
        </w:rPr>
        <w:t>of the Disclosure Schedules, there are no outstanding Options issued or granted by, or binding upon, any Acquired Company for any Person to purchase or sell or otherwise acquire or dispose of any equity interest or other security or interest in any such Acquired Company. Except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as set forth in any Tax Equity Agreement, any Financing Document or the Constitutive Documents of any Acquired Company;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as provided pursuant to this Agreement;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as set forth in Part II of </w:t>
      </w:r>
      <w:r>
        <w:rPr>
          <w:rFonts w:ascii="Times New Roman;Times;Serif" w:hAnsi="Times New Roman;Times;Serif"/>
          <w:b w:val="false"/>
          <w:i/>
          <w:caps w:val="false"/>
          <w:smallCaps w:val="false"/>
          <w:sz w:val="20"/>
        </w:rPr>
        <w:t>Schedule 3.01(i)(v)</w:t>
      </w:r>
      <w:r>
        <w:rPr>
          <w:rFonts w:ascii="Times New Roman;Times;Serif" w:hAnsi="Times New Roman;Times;Serif"/>
          <w:b w:val="false"/>
          <w:i w:val="false"/>
          <w:caps w:val="false"/>
          <w:smallCaps w:val="false"/>
          <w:sz w:val="20"/>
        </w:rPr>
        <w:t> of the Disclosure Schedules, none of the Acquired Interests or the membership interests in the Acquired Companies are subject to any voting trust or voting trust agreement, voting agreement, pledge agreement, buy-sell agreement, right of first refusal, preemptive right or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Except as set forth on </w:t>
      </w:r>
      <w:r>
        <w:rPr>
          <w:rFonts w:ascii="Times New Roman;Times;Serif" w:hAnsi="Times New Roman;Times;Serif"/>
          <w:b w:val="false"/>
          <w:i/>
          <w:caps w:val="false"/>
          <w:smallCaps w:val="false"/>
          <w:sz w:val="20"/>
        </w:rPr>
        <w:t>Schedule 3.01(i)(vi)</w:t>
      </w:r>
      <w:r>
        <w:rPr>
          <w:rFonts w:ascii="Times New Roman;Times;Serif" w:hAnsi="Times New Roman;Times;Serif"/>
          <w:b w:val="false"/>
          <w:i w:val="false"/>
          <w:caps w:val="false"/>
          <w:smallCaps w:val="false"/>
          <w:sz w:val="20"/>
        </w:rPr>
        <w:t> of the Disclosure Schedules, no Acquired Company has any subsidiaries, equity interests, interests in joint ventures or general or limited partnerships or other investment or portfolio assets of a similar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Except as set forth on </w:t>
      </w:r>
      <w:r>
        <w:rPr>
          <w:rFonts w:ascii="Times New Roman;Times;Serif" w:hAnsi="Times New Roman;Times;Serif"/>
          <w:b w:val="false"/>
          <w:i/>
          <w:caps w:val="false"/>
          <w:smallCaps w:val="false"/>
          <w:sz w:val="20"/>
        </w:rPr>
        <w:t>Schedule 3.01(i)(vii)</w:t>
      </w:r>
      <w:r>
        <w:rPr>
          <w:rFonts w:ascii="Times New Roman;Times;Serif" w:hAnsi="Times New Roman;Times;Serif"/>
          <w:b w:val="false"/>
          <w:i w:val="false"/>
          <w:caps w:val="false"/>
          <w:smallCaps w:val="false"/>
          <w:sz w:val="20"/>
        </w:rPr>
        <w:t> of the Disclosure Schedules, no Acquired Company conducts: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business other than the development, ownership, operation and management of the Project;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operations other than those incidental to the ownership, operation, and management of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books and records of each Acquired Company are: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in all material respects, accurate and complete and have been maintained in accordance with good business practices;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state in reasonable detail and accurately and fairly reflect the activities and transactions of such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execution and delivery by Seller of the Assignment of Membership Interests;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other than Permitted Equity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No Undisclosed Liabilities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Acquired Company has any material liability or obligation that would be required to be disclosed on a balance sheet prepared in accordance with GAAP, except for the liabilities and obligations of the Acquired Companies: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incurred in the ordinary course of business consistent with past practice;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that constitute amounts payable under the Company Contracts expressly provided for under existing Company Contracts that have not arisen from a breach thereof or thereunder;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under the Financing Documents or Tax Equity Agreements; or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xml:space="preserve">) as set forth in </w:t>
      </w:r>
      <w:r>
        <w:rPr>
          <w:rFonts w:ascii="Times New Roman;Times;Serif" w:hAnsi="Times New Roman;Times;Serif"/>
          <w:b w:val="false"/>
          <w:i/>
          <w:caps w:val="false"/>
          <w:smallCaps w:val="false"/>
          <w:sz w:val="20"/>
        </w:rPr>
        <w:t>Schedule 3.01(j)</w:t>
      </w:r>
      <w:r>
        <w:rPr>
          <w:rFonts w:ascii="Times New Roman;Times;Serif" w:hAnsi="Times New Roman;Times;Serif"/>
          <w:b w:val="false"/>
          <w:i w:val="false"/>
          <w:caps w:val="false"/>
          <w:smallCaps w:val="false"/>
          <w:sz w:val="20"/>
        </w:rPr>
        <w:t>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of the Indebtedness of each Acquired Company as of the Execution Date, other than Indebtedness under any Financing Document, is listed on </w:t>
      </w:r>
      <w:r>
        <w:rPr>
          <w:rFonts w:ascii="Times New Roman;Times;Serif" w:hAnsi="Times New Roman;Times;Serif"/>
          <w:b w:val="false"/>
          <w:i/>
          <w:caps w:val="false"/>
          <w:smallCaps w:val="false"/>
          <w:sz w:val="20"/>
        </w:rPr>
        <w:t>Schedule 3.01(j)</w:t>
      </w:r>
      <w:r>
        <w:rPr>
          <w:rFonts w:ascii="Times New Roman;Times;Serif" w:hAnsi="Times New Roman;Times;Serif"/>
          <w:b w:val="false"/>
          <w:i w:val="false"/>
          <w:caps w:val="false"/>
          <w:smallCaps w:val="false"/>
          <w:sz w:val="20"/>
        </w:rPr>
        <w:t>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xml:space="preserve">. Except as disclosed on </w:t>
      </w:r>
      <w:r>
        <w:rPr>
          <w:rFonts w:ascii="Times New Roman;Times;Serif" w:hAnsi="Times New Roman;Times;Serif"/>
          <w:b w:val="false"/>
          <w:i/>
          <w:caps w:val="false"/>
          <w:smallCaps w:val="false"/>
          <w:sz w:val="20"/>
        </w:rPr>
        <w:t>Schedule 3.01(k)</w:t>
      </w:r>
      <w:r>
        <w:rPr>
          <w:rFonts w:ascii="Times New Roman;Times;Serif" w:hAnsi="Times New Roman;Times;Serif"/>
          <w:b w:val="false"/>
          <w:i w:val="false"/>
          <w:caps w:val="false"/>
          <w:smallCaps w:val="false"/>
          <w:sz w:val="20"/>
        </w:rPr>
        <w:t> of the Disclosure Schedules, since the date of formation of each Acquired Company,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federal and all other material Tax Returns required to be filed by or with respect to each such Acquired Company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any Acquired Company (or income attributable thereto), and Seller, Affiliates of Seller, and the Acquired Companies have paid, or made adequate provisions for the payment of, all Taxes, assessments and other charges due or claimed to be due (regardless of whether shown on any Tax Return) from any such Acquired Company or for which any Acquired Company or Purchaser could be held liable.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are no: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Actions or Proceedings currently pending or threatened in writing against the Acquired Companies or related to their business operations by any Governmental Authority for the assessment or collection of Taxes;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audits or other examinations of any Tax Return of the Acquired Companies (or income attributable thereto) in progress nor has Seller, any Affiliate of Seller or the Acquired Companies been notified in writing of any request for examination with respect to the Acquired Companies;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claims for assessment or collection of Taxes that have been asserted in writing against Seller or any Affiliate of Seller with respect to the Acquired Companies (or the income attributable thereto); or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xml:space="preserve">) matters under discussion with any Governmental Authority regarding claims for assessment or collection of Taxes against the Acquired Companies (or income attributable thereto). There are no outstanding agreements, waivers or consents extending the statutory period of limitations applicable to any Tax of the Acquired Companies, and, except as set forth on </w:t>
      </w:r>
      <w:r>
        <w:rPr>
          <w:rFonts w:ascii="Times New Roman;Times;Serif" w:hAnsi="Times New Roman;Times;Serif"/>
          <w:b w:val="false"/>
          <w:i/>
          <w:caps w:val="false"/>
          <w:smallCaps w:val="false"/>
          <w:sz w:val="20"/>
        </w:rPr>
        <w:t>Schedule 3.01(k)</w:t>
      </w:r>
      <w:r>
        <w:rPr>
          <w:rFonts w:ascii="Times New Roman;Times;Serif" w:hAnsi="Times New Roman;Times;Serif"/>
          <w:b w:val="false"/>
          <w:i w:val="false"/>
          <w:caps w:val="false"/>
          <w:smallCaps w:val="false"/>
          <w:sz w:val="20"/>
        </w:rPr>
        <w:t> of the Disclosure Schedules, no Acquired Company has requested any extension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Seller (or, if Seller is a disregarded entity, Seller’s regarded owner for U.S. federal income tax purposes) is not a “foreign person” within the meaning of Code Sections 1445(b)(2) and 1446(f).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Acquired Companies have been properly classified for federal and state income Tax purposes either as disregarded entities or partnerships under Treasury Regulations Section 301.7701-2 and -3 and neither Seller nor any Affiliate of Seller has made or caused to be made any election for any Tax purposes to classify any Acquired Company other than as a disregarded entity or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Acquired Company is a party to any Tax allocation, Tax sharing or other similar agreement, other than customary Tax indemnification or other provisions contained in any credit or other ordinary course commercial agreements the primary purpose of which is not Taxes (including, for the avoidance of doubt, the Company Contracts and the Tax Equity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Target Company has never entered into or been a party to any “reportable transaction,” as defined in Section 1.6011-4(b) of the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None of the property owned by any Acquired Company is “tax exempt use property” within the meaning of Section 168(h) of the Code or “tax exempt bond financed property” within the meaning of Code Section 168(g)(5) (for the avoidance of doubt, other than as a result of Purchaser’s treatment as an indirect owner of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Employees</w:t>
      </w:r>
      <w:r>
        <w:rPr>
          <w:rFonts w:ascii="Times New Roman;Times;Serif" w:hAnsi="Times New Roman;Times;Serif"/>
          <w:b w:val="false"/>
          <w:i w:val="false"/>
          <w:caps w:val="false"/>
          <w:smallCaps w:val="false"/>
          <w:sz w:val="20"/>
        </w:rPr>
        <w:t>. No Acquired Company has, nor has ever had, any employees or any Liability, actual or contingent, with respect to any Employee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Company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of the Disclosure Schedules contains, as of the Execution Date, a true, correct and complete list of all Company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Seller has provided Purchaser with, or access to, true, correct and complete copies of all the Company Contracts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required to be disclosed on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of the Disclosure Schedules;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entered into from and after the Execution Date, and the agreements described on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and all amendments, modifications and supplements thereto. Each Company Contract constitutes the legal, valid, binding and enforceable obligation of the Acquired Company party thereto and to the Knowledge of Seller, the other parties thereto, except as may be limited by: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bankruptcy, insolvency, reorganization, moratorium and other similar laws of general application affecting the rights and remedies of creditors;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general principles of equity (regardless of whether such enforcement is considered in a proceeding in equity or at law). Each Company Contract is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Except as disclosed on </w:t>
      </w:r>
      <w:r>
        <w:rPr>
          <w:rFonts w:ascii="Times New Roman;Times;Serif" w:hAnsi="Times New Roman;Times;Serif"/>
          <w:b w:val="false"/>
          <w:i/>
          <w:caps w:val="false"/>
          <w:smallCaps w:val="false"/>
          <w:sz w:val="20"/>
        </w:rPr>
        <w:t>Schedule 3.01(m)(iii)</w:t>
      </w:r>
      <w:r>
        <w:rPr>
          <w:rFonts w:ascii="Times New Roman;Times;Serif" w:hAnsi="Times New Roman;Times;Serif"/>
          <w:b w:val="false"/>
          <w:i w:val="false"/>
          <w:caps w:val="false"/>
          <w:smallCaps w:val="false"/>
          <w:sz w:val="20"/>
        </w:rPr>
        <w:t> of the Disclosure Schedules, no Acquired Company or, to the Knowledge of Seller, the other parties thereto, is in material violation or material breach of or material default under any Company Contract to which it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None of Seller or any Acquired Company has given or received notice or other written communication regarding any actual, alleged, possible or potential material violation or material breach with respect to any material provision of, or any material default under, or intent to cancel or terminate, any Company Contract, which violation, breach or default has not been remedied, cured or waived or for which any such intent to cancel or terminate has been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Real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Schedule 3.01(n)(i)</w:t>
      </w:r>
      <w:r>
        <w:rPr>
          <w:rFonts w:ascii="Times New Roman;Times;Serif" w:hAnsi="Times New Roman;Times;Serif"/>
          <w:b w:val="false"/>
          <w:i w:val="false"/>
          <w:caps w:val="false"/>
          <w:smallCaps w:val="false"/>
          <w:sz w:val="20"/>
        </w:rPr>
        <w:t> of the Disclosure Schedules lists, as of the Execution Date, all Real Property Rights of the Project Company, the real property in which the Project Company has Real Property Rights, and appurtenances thereto (all such Real Property Rights, whether at the Execution Date or the Closing Date, collectively, the “</w:t>
      </w:r>
      <w:r>
        <w:rPr>
          <w:rFonts w:ascii="Times New Roman;Times;Serif" w:hAnsi="Times New Roman;Times;Serif"/>
          <w:b w:val="false"/>
          <w:i/>
          <w:caps w:val="false"/>
          <w:smallCaps w:val="false"/>
          <w:sz w:val="20"/>
        </w:rPr>
        <w:t>Land</w:t>
      </w:r>
      <w:r>
        <w:rPr>
          <w:rFonts w:ascii="Times New Roman;Times;Serif" w:hAnsi="Times New Roman;Times;Serif"/>
          <w:b w:val="false"/>
          <w:i w:val="false"/>
          <w:caps w:val="false"/>
          <w:smallCaps w:val="false"/>
          <w:sz w:val="20"/>
        </w:rPr>
        <w:t>”). The Project Company has a good and valid fee, leasehold, easement, access, license, or right of way interests, as applicable, in the Land required or associated with the Project, free and clear of all Liens, except: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for Permitted Exceptions;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as disclosed in the Execution Date Proforma Title Policy delivered by Seller to Purchaser on or before the Closing Date;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as disclosed in the Title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Except as set forth on </w:t>
      </w:r>
      <w:r>
        <w:rPr>
          <w:rFonts w:ascii="Times New Roman;Times;Serif" w:hAnsi="Times New Roman;Times;Serif"/>
          <w:b w:val="false"/>
          <w:i/>
          <w:caps w:val="false"/>
          <w:smallCaps w:val="false"/>
          <w:sz w:val="20"/>
        </w:rPr>
        <w:t>Schedule 3.01(n)(ii)</w:t>
      </w:r>
      <w:r>
        <w:rPr>
          <w:rFonts w:ascii="Times New Roman;Times;Serif" w:hAnsi="Times New Roman;Times;Serif"/>
          <w:b w:val="false"/>
          <w:i w:val="false"/>
          <w:caps w:val="false"/>
          <w:smallCaps w:val="false"/>
          <w:sz w:val="20"/>
        </w:rPr>
        <w:t> of the Disclosure Schedules, no Acquired Company has entered into any assignment, lease, license, sublease, easement or other agreement granting to any Person any right to the possession, use, occupancy or enjoyment of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 Acquired Company has caused or suffered to exist any easement, right-of-way, covenant, condition, restriction, reservation, license, agreement or other similar matter that would materially interfere with the operation of the Project or the business of the Acquired Companies in respect of the Real Property Rights, except as set forth on Part I of </w:t>
      </w:r>
      <w:r>
        <w:rPr>
          <w:rFonts w:ascii="Times New Roman;Times;Serif" w:hAnsi="Times New Roman;Times;Serif"/>
          <w:b w:val="false"/>
          <w:i/>
          <w:caps w:val="false"/>
          <w:smallCaps w:val="false"/>
          <w:sz w:val="20"/>
        </w:rPr>
        <w:t>Schedule 3.01(n)(iii)</w:t>
      </w:r>
      <w:r>
        <w:rPr>
          <w:rFonts w:ascii="Times New Roman;Times;Serif" w:hAnsi="Times New Roman;Times;Serif"/>
          <w:b w:val="false"/>
          <w:i w:val="false"/>
          <w:caps w:val="false"/>
          <w:smallCaps w:val="false"/>
          <w:sz w:val="20"/>
        </w:rPr>
        <w:t> of the Disclosure Schedules, in the applicable Execution Date Proforma Title Policy or in the applicable Title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Except as set forth on Part II of </w:t>
      </w:r>
      <w:r>
        <w:rPr>
          <w:rFonts w:ascii="Times New Roman;Times;Serif" w:hAnsi="Times New Roman;Times;Serif"/>
          <w:b w:val="false"/>
          <w:i/>
          <w:caps w:val="false"/>
          <w:smallCaps w:val="false"/>
          <w:sz w:val="20"/>
        </w:rPr>
        <w:t>Schedule 3.01(n)(iii)</w:t>
      </w:r>
      <w:r>
        <w:rPr>
          <w:rFonts w:ascii="Times New Roman;Times;Serif" w:hAnsi="Times New Roman;Times;Serif"/>
          <w:b w:val="false"/>
          <w:i w:val="false"/>
          <w:caps w:val="false"/>
          <w:smallCaps w:val="false"/>
          <w:sz w:val="20"/>
        </w:rPr>
        <w:t> of the Disclosure Schedules, the Real Property Rights are all the real property rights necessary for the Acquired Companies to develop, construct, own and operate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None of Seller or any Acquired Company has received any written notice of: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condemnation, eminent domain or similar governmental proceeding materially affecting, individually or in the aggregate, the Project;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zoning, ordinance, building, fire, health or safety code violations materially affecting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Title Policy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Schedule 3.01(o)</w:t>
      </w:r>
      <w:r>
        <w:rPr>
          <w:rFonts w:ascii="Times New Roman;Times;Serif" w:hAnsi="Times New Roman;Times;Serif"/>
          <w:b w:val="false"/>
          <w:i w:val="false"/>
          <w:caps w:val="false"/>
          <w:smallCaps w:val="false"/>
          <w:sz w:val="20"/>
        </w:rPr>
        <w:t> of the Disclosure Schedules lists all Real Property Rights insured by the Title Policy (the “</w:t>
      </w:r>
      <w:r>
        <w:rPr>
          <w:rFonts w:ascii="Times New Roman;Times;Serif" w:hAnsi="Times New Roman;Times;Serif"/>
          <w:b w:val="false"/>
          <w:i/>
          <w:caps w:val="false"/>
          <w:smallCaps w:val="false"/>
          <w:sz w:val="20"/>
        </w:rPr>
        <w:t>Insured Property Rights</w:t>
      </w:r>
      <w:r>
        <w:rPr>
          <w:rFonts w:ascii="Times New Roman;Times;Serif" w:hAnsi="Times New Roman;Times;Serif"/>
          <w:b w:val="false"/>
          <w:i w:val="false"/>
          <w:caps w:val="false"/>
          <w:smallCaps w:val="false"/>
          <w:sz w:val="20"/>
        </w:rPr>
        <w:t>”). As of the Execution Date, Seller has provided to Purchaser a true and correct copy of the Execution Date Proforma Title Policy covering the Insured Property Rights. As of the Closing Date, Seller has provided to Purchaser a copy of the pro forma Closing Date Endorsement, and true and correct copy of the Title Policy covering the Insured Property Rights. The Insured Property Rights are subject only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Permitted Exceptions;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matters disclosed in the Title Policy;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matters consented to in writing by Purchaser (which consent shall not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Environmental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set forth on </w:t>
      </w:r>
      <w:r>
        <w:rPr>
          <w:rFonts w:ascii="Times New Roman;Times;Serif" w:hAnsi="Times New Roman;Times;Serif"/>
          <w:b w:val="false"/>
          <w:i/>
          <w:caps w:val="false"/>
          <w:smallCaps w:val="false"/>
          <w:sz w:val="20"/>
        </w:rPr>
        <w:t>Schedule 3.01(p)(i)</w:t>
      </w:r>
      <w:r>
        <w:rPr>
          <w:rFonts w:ascii="Times New Roman;Times;Serif" w:hAnsi="Times New Roman;Times;Serif"/>
          <w:b w:val="false"/>
          <w:i w:val="false"/>
          <w:caps w:val="false"/>
          <w:smallCaps w:val="false"/>
          <w:sz w:val="20"/>
        </w:rPr>
        <w:t> of the Disclosure Schedules, the Acquired Companies are in compliance with all Environmental Laws, except to the extent that any such noncompliance would not reasonably be expected to have a Material Adverse Effect. There is no material violation of any Environmental Law or other material Liability arising under any Environmental Law with respect to the Project or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are no Actions or Proceedings pending or, to the Knowledge of Seller, threatened as of the Execution Date against Seller (solely in respect of the Project or the Acquired Companies), or the Acquired Companies, relating to any material violation of Environmental Law. None of Seller or any Acquired Company has received written notice from any Governmental Authority of any material violation of any Environmental Law in respect of the Project or the Acquired Companies (other than those violations that have been resolved or remedied).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Schedule 3.01(p)(iii)</w:t>
      </w:r>
      <w:r>
        <w:rPr>
          <w:rFonts w:ascii="Times New Roman;Times;Serif" w:hAnsi="Times New Roman;Times;Serif"/>
          <w:b w:val="false"/>
          <w:i w:val="false"/>
          <w:caps w:val="false"/>
          <w:smallCaps w:val="false"/>
          <w:sz w:val="20"/>
        </w:rPr>
        <w:t xml:space="preserve"> of the Disclosure Schedules sets forth, as of the Execution Date, all material Permits required pursuant to any Environmental Law to be acquired or held by or for the benefit of Seller or Acquired Companies for the development, construction, ownership, use or operation of the Land or the business of the Acquired Companies as currently conducted. Except as set forth in </w:t>
      </w:r>
      <w:r>
        <w:rPr>
          <w:rFonts w:ascii="Times New Roman;Times;Serif" w:hAnsi="Times New Roman;Times;Serif"/>
          <w:b w:val="false"/>
          <w:i/>
          <w:caps w:val="false"/>
          <w:smallCaps w:val="false"/>
          <w:sz w:val="20"/>
        </w:rPr>
        <w:t>Schedule 3.01(p)(iii)</w:t>
      </w:r>
      <w:r>
        <w:rPr>
          <w:rFonts w:ascii="Times New Roman;Times;Serif" w:hAnsi="Times New Roman;Times;Serif"/>
          <w:b w:val="false"/>
          <w:i w:val="false"/>
          <w:caps w:val="false"/>
          <w:smallCaps w:val="false"/>
          <w:sz w:val="20"/>
        </w:rPr>
        <w:t> of the Disclosure Schedules, such Permits have been obtained in a timely manner and are presently maintained in full force and effect in the name of an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Except as set forth on </w:t>
      </w:r>
      <w:r>
        <w:rPr>
          <w:rFonts w:ascii="Times New Roman;Times;Serif" w:hAnsi="Times New Roman;Times;Serif"/>
          <w:b w:val="false"/>
          <w:i/>
          <w:caps w:val="false"/>
          <w:smallCaps w:val="false"/>
          <w:sz w:val="20"/>
        </w:rPr>
        <w:t>Schedule 3.01(p)(iv)</w:t>
      </w:r>
      <w:r>
        <w:rPr>
          <w:rFonts w:ascii="Times New Roman;Times;Serif" w:hAnsi="Times New Roman;Times;Serif"/>
          <w:b w:val="false"/>
          <w:i w:val="false"/>
          <w:caps w:val="false"/>
          <w:smallCaps w:val="false"/>
          <w:sz w:val="20"/>
        </w:rPr>
        <w:t> of the Disclosure Schedules, to the Knowledge of Seller, there has been no Release of Hazardous Substances at or from the Project in violation of Environmental Laws or Permits required by or issued pursuant to any Environmental Law for the development, construction, ownership, use or operation of the Land or the business of the Acquired Companies as currently conducted that would be reasonably expected to trigger any obligation of Seller or the Acquired Companies under Environmental Laws to report, investigate, remove or remediate such Release, or that would be reasonably expected to result in a material liability or interfere materially with the development, construction, ownership or operations of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Seller has made available to Purchaser all material environmental reports, assessments and documents that are in the possession of Seller or the Acquired Companies and that relate to actual or potential material Liabilities under Environmental Laws with respect to the Project or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Schedule 3.01(q)(i)</w:t>
      </w:r>
      <w:r>
        <w:rPr>
          <w:rFonts w:ascii="Times New Roman;Times;Serif" w:hAnsi="Times New Roman;Times;Serif"/>
          <w:b w:val="false"/>
          <w:i w:val="false"/>
          <w:caps w:val="false"/>
          <w:smallCaps w:val="false"/>
          <w:sz w:val="20"/>
        </w:rPr>
        <w:t xml:space="preserve"> of the Disclosure Schedules sets forth, as of the Execution Date, all material Permits required pursuant to any Law to be acquired or held by or for the benefit of Seller or the Acquired Companies in connection with the development, construction, ownership, maintenance, or operation of the Project, except for those required by the Environmental Laws, which are exclusively and solely governed by </w:t>
      </w:r>
      <w:r>
        <w:rPr>
          <w:rFonts w:ascii="Times New Roman;Times;Serif" w:hAnsi="Times New Roman;Times;Serif"/>
          <w:b w:val="false"/>
          <w:i/>
          <w:caps w:val="false"/>
          <w:smallCaps w:val="false"/>
          <w:sz w:val="20"/>
        </w:rPr>
        <w:t>Section 3.01(p)</w:t>
      </w:r>
      <w:r>
        <w:rPr>
          <w:rFonts w:ascii="Times New Roman;Times;Serif" w:hAnsi="Times New Roman;Times;Serif"/>
          <w:b w:val="false"/>
          <w:i w:val="false"/>
          <w:caps w:val="false"/>
          <w:smallCaps w:val="false"/>
          <w:sz w:val="20"/>
        </w:rPr>
        <w:t xml:space="preserve">, or those of a type that are ministerial in nature and routinely granted on application and for which none of Seller or the Acquired Companies has reason to believe will not be obtained in due course. Except as set forth in </w:t>
      </w:r>
      <w:r>
        <w:rPr>
          <w:rFonts w:ascii="Times New Roman;Times;Serif" w:hAnsi="Times New Roman;Times;Serif"/>
          <w:b w:val="false"/>
          <w:i/>
          <w:caps w:val="false"/>
          <w:smallCaps w:val="false"/>
          <w:sz w:val="20"/>
        </w:rPr>
        <w:t>Schedule 3.01(q)(i)</w:t>
      </w:r>
      <w:r>
        <w:rPr>
          <w:rFonts w:ascii="Times New Roman;Times;Serif" w:hAnsi="Times New Roman;Times;Serif"/>
          <w:b w:val="false"/>
          <w:i w:val="false"/>
          <w:caps w:val="false"/>
          <w:smallCaps w:val="false"/>
          <w:sz w:val="20"/>
        </w:rPr>
        <w:t> of the Disclosure Schedules, such Permits have been obtained in a timely manner and are presently maintained in full force and effect in the name of an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Except as set forth on </w:t>
      </w:r>
      <w:r>
        <w:rPr>
          <w:rFonts w:ascii="Times New Roman;Times;Serif" w:hAnsi="Times New Roman;Times;Serif"/>
          <w:b w:val="false"/>
          <w:i/>
          <w:caps w:val="false"/>
          <w:smallCaps w:val="false"/>
          <w:sz w:val="20"/>
        </w:rPr>
        <w:t>Schedule 3.01(q)(ii)</w:t>
      </w:r>
      <w:r>
        <w:rPr>
          <w:rFonts w:ascii="Times New Roman;Times;Serif" w:hAnsi="Times New Roman;Times;Serif"/>
          <w:b w:val="false"/>
          <w:i w:val="false"/>
          <w:caps w:val="false"/>
          <w:smallCaps w:val="false"/>
          <w:sz w:val="20"/>
        </w:rPr>
        <w:t xml:space="preserve"> of the Disclosure Schedules, and except as relates to compliance with Environmental Laws which is exclusively and solely governed by </w:t>
      </w:r>
      <w:r>
        <w:rPr>
          <w:rFonts w:ascii="Times New Roman;Times;Serif" w:hAnsi="Times New Roman;Times;Serif"/>
          <w:b w:val="false"/>
          <w:i/>
          <w:caps w:val="false"/>
          <w:smallCaps w:val="false"/>
          <w:sz w:val="20"/>
        </w:rPr>
        <w:t>Section 3.01(p)</w:t>
      </w:r>
      <w:r>
        <w:rPr>
          <w:rFonts w:ascii="Times New Roman;Times;Serif" w:hAnsi="Times New Roman;Times;Serif"/>
          <w:b w:val="false"/>
          <w:i w:val="false"/>
          <w:caps w:val="false"/>
          <w:smallCaps w:val="false"/>
          <w:sz w:val="20"/>
        </w:rPr>
        <w:t>, Seller and the Acquired Companies are in material compliance with each such Permit, and in compliance with the FPA and PUHCA, except where the failure to so comply would not reasonably be expected to have a Material Adverse Effect, and have received no written notice of violation or noncompliance from any Governmental Authority which violation or noncompliance has not been remedied or any written notice or claim asserting or alleging that any such Permit: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is not in full force and effect;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is subject to any Action or Proceeding or unsatisfied condition, in each case of clause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which has not been remedied or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There are no proceedings pending or, to the Knowledge of Seller, threatened which would reasonably be expected to result in the modification, revocation or termination of any material Permit set forth in </w:t>
      </w:r>
      <w:r>
        <w:rPr>
          <w:rFonts w:ascii="Times New Roman;Times;Serif" w:hAnsi="Times New Roman;Times;Serif"/>
          <w:b w:val="false"/>
          <w:i/>
          <w:caps w:val="false"/>
          <w:smallCaps w:val="false"/>
          <w:sz w:val="20"/>
        </w:rPr>
        <w:t>Schedule 3.01(q)(i)</w:t>
      </w:r>
      <w:r>
        <w:rPr>
          <w:rFonts w:ascii="Times New Roman;Times;Serif" w:hAnsi="Times New Roman;Times;Serif"/>
          <w:b w:val="false"/>
          <w:i w:val="false"/>
          <w:caps w:val="false"/>
          <w:smallCaps w:val="false"/>
          <w:sz w:val="20"/>
        </w:rPr>
        <w:t>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Affiliate Transactions</w:t>
      </w:r>
      <w:r>
        <w:rPr>
          <w:rFonts w:ascii="Times New Roman;Times;Serif" w:hAnsi="Times New Roman;Times;Serif"/>
          <w:b w:val="false"/>
          <w:i w:val="false"/>
          <w:caps w:val="false"/>
          <w:smallCaps w:val="false"/>
          <w:sz w:val="20"/>
        </w:rPr>
        <w:t>. Except for: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transactions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disclosed on </w:t>
      </w:r>
      <w:r>
        <w:rPr>
          <w:rFonts w:ascii="Times New Roman;Times;Serif" w:hAnsi="Times New Roman;Times;Serif"/>
          <w:b w:val="false"/>
          <w:i/>
          <w:caps w:val="false"/>
          <w:smallCaps w:val="false"/>
          <w:sz w:val="20"/>
        </w:rPr>
        <w:t>Schedule 3.01(r)</w:t>
      </w:r>
      <w:r>
        <w:rPr>
          <w:rFonts w:ascii="Times New Roman;Times;Serif" w:hAnsi="Times New Roman;Times;Serif"/>
          <w:b w:val="false"/>
          <w:i w:val="false"/>
          <w:caps w:val="false"/>
          <w:smallCaps w:val="false"/>
          <w:sz w:val="20"/>
        </w:rPr>
        <w:t> of the Disclosure Schedules,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under the Company Contracts disclosed on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of the Disclosure Schedules,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entered into following the Execution Date in accordance with the terms of this Agreement;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this Agreement, there are no existing or pending transactions, Contracts or Liabilities between or among any Acquired Company on the one hand, and Seller or any of Seller’s Affiliates (other than any other Acquired Company), or any officer or director of Seller or any of Seller’s Affiliates,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the Knowledge of Seller, except as set forth in </w:t>
      </w:r>
      <w:r>
        <w:rPr>
          <w:rFonts w:ascii="Times New Roman;Times;Serif" w:hAnsi="Times New Roman;Times;Serif"/>
          <w:b w:val="false"/>
          <w:i/>
          <w:caps w:val="false"/>
          <w:smallCaps w:val="false"/>
          <w:sz w:val="20"/>
        </w:rPr>
        <w:t>Schedule 3.01(s)(i) </w:t>
      </w:r>
      <w:r>
        <w:rPr>
          <w:rFonts w:ascii="Times New Roman;Times;Serif" w:hAnsi="Times New Roman;Times;Serif"/>
          <w:b w:val="false"/>
          <w:i w:val="false"/>
          <w:caps w:val="false"/>
          <w:smallCaps w:val="false"/>
          <w:sz w:val="20"/>
        </w:rPr>
        <w:t>of the Disclosure Schedules, there is not now and has not been during the past three (3) years any infringement or misappropriation by Seller of any valid patent, trademark, trade name, service mark, copyright, trade secret or similar intellectual property which relates to the Acquired Interests or the assets of the Acquired Companies and which is owned by any third party, and there is not now any existing or, to the Knowledge of Seller, threatened claim against Seller of infringement or misappropriation of any patent, trademark, trade name, service mark, copyright trade secret or similar intellectual property which directly relates to the Acquired Interests or the assets of the Acquired Companies and which is owned by any third party and which, in each case,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Acquired Company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is no pending or, to the Knowledge of Seller, threatened claim by Seller against others for infringement or misappropriation of any trademark, trade name, service mark, copyright, trade secret or similar intellectual property owned by Seller and which is utilized in the conduct of the business of the Acquired Companies that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Insurance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xml:space="preserve"> of the Disclosure Schedules contains a true, correct and complete list of all insurance policies as of the Execution Date that insure the assets and properties and business of the Acquired Companies or affect or relate to the ownership of any of the assets and properties the Acquired Companies. Seller has delivered to Purchaser detailed summaries of all the insurance policies set forth on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xml:space="preserve"> of the Disclosure Schedules, all of which are in full force and effect. None of Seller or any Acquired Company has received any notice with respect to the assets and properties and business of the Acquired Companies from any insurer under any insurance policy applicable to the assets and properties and business of the Acquired Companies disclaiming coverage, reserving rights with respect to a particular claim or such policy in general or canceling any such policy. All premiums due and payable under all such policies have been paid and the terms of such policies have been complied with by Seller and the Acquired Companies, as applicable, in all material respects. The insurance maintained by or on behalf of the Acquired Companies is adequate to comply with all Laws and Company Contracts. Except as set forth on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xml:space="preserve"> of the Disclosure Schedules, there are no pending insurance claims. Seller expects insurance coverage for property damage and business interruption for the Project as described in the property and casualty policies set forth on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of the Disclosure Schedules to continue in all material respects after the Closing Date. Furthermore, at the expiration of such policies, Seller expects the aforementioned policies to be renewed with terms substantially identical to those described in the policies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Balance Sheets</w:t>
      </w:r>
      <w:r>
        <w:rPr>
          <w:rFonts w:ascii="Times New Roman;Times;Serif" w:hAnsi="Times New Roman;Times;Serif"/>
          <w:b w:val="false"/>
          <w:i w:val="false"/>
          <w:caps w:val="false"/>
          <w:smallCaps w:val="false"/>
          <w:sz w:val="20"/>
        </w:rPr>
        <w:t>. Seller has previously delivered to Purchaser true, correct and complete copies of the unaudited balance sheets (the “</w:t>
      </w:r>
      <w:r>
        <w:rPr>
          <w:rFonts w:ascii="Times New Roman;Times;Serif" w:hAnsi="Times New Roman;Times;Serif"/>
          <w:b w:val="false"/>
          <w:i/>
          <w:caps w:val="false"/>
          <w:smallCaps w:val="false"/>
          <w:sz w:val="20"/>
        </w:rPr>
        <w:t>Balance Sheets</w:t>
      </w:r>
      <w:r>
        <w:rPr>
          <w:rFonts w:ascii="Times New Roman;Times;Serif" w:hAnsi="Times New Roman;Times;Serif"/>
          <w:b w:val="false"/>
          <w:i w:val="false"/>
          <w:caps w:val="false"/>
          <w:smallCaps w:val="false"/>
          <w:sz w:val="20"/>
        </w:rPr>
        <w:t>”) of the Acquired Companies, on a stand-alone basis, for the quarter ended June 30, 2026 (the “</w:t>
      </w:r>
      <w:r>
        <w:rPr>
          <w:rFonts w:ascii="Times New Roman;Times;Serif" w:hAnsi="Times New Roman;Times;Serif"/>
          <w:b w:val="false"/>
          <w:i/>
          <w:caps w:val="false"/>
          <w:smallCaps w:val="false"/>
          <w:sz w:val="20"/>
        </w:rPr>
        <w:t>Balance Sheets Date</w:t>
      </w:r>
      <w:r>
        <w:rPr>
          <w:rFonts w:ascii="Times New Roman;Times;Serif" w:hAnsi="Times New Roman;Times;Serif"/>
          <w:b w:val="false"/>
          <w:i w:val="false"/>
          <w:caps w:val="false"/>
          <w:smallCaps w:val="false"/>
          <w:sz w:val="20"/>
        </w:rPr>
        <w:t>”). The Balance Sheets: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fairly present, in all material respects, the consolidated or stand-alone financial position, as applicable, of the Acquired Companies covered thereby, as of the Balance Sheets Date;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have been prepared in accordance with GAAP consistently applied during the period(s) involved except as otherwise noted therein, subject to normal and recurring year-end adjustments that have not been and are not expected to be material in amount;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have been prepared from the books and records of the Acquired Companies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Absence of Changes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3.01(v)</w:t>
      </w:r>
      <w:r>
        <w:rPr>
          <w:rFonts w:ascii="Times New Roman;Times;Serif" w:hAnsi="Times New Roman;Times;Serif"/>
          <w:b w:val="false"/>
          <w:i w:val="false"/>
          <w:caps w:val="false"/>
          <w:smallCaps w:val="false"/>
          <w:sz w:val="20"/>
        </w:rPr>
        <w:t> of the Disclosure Schedules, between the Balance Sheets Date (except as otherwise indicated in subparagraph (vii) below) and the Execution Date, there has not been: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repurchase, redemption or other acquisition of any equity interests of any Acquired Company or any interests convertible into equity interests of any Acquired Company or any other change in the capitalization or ownership of any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merger of any Acquired Company into or with any other Person, consolidation of any Acquired Company with any other Person or acquisition by any Acquired Company of all or substantially all of the business or assets of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action by any Acquired Company or any commitment entered into by any member of any Acquired Company with respect to or in contemplation of any liquidation, dissolution, recapitalization, reorganization or other winding up of its business or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material change in accounting policies or practices (including any change in depreciation or amortization policies) of any Acquired Company, except as required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sale, lease (as lessor), transfer or other disposal of (including any transfers to any of its Affiliates), or mortgage or pledge, or imposition of any Lien on, any of assets or properties of any Acquired Company, or interests therein, other than: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inventory and personal property sold or otherwise disposed of in the ordinary course of business;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creation, incurrence, assumption or guarantee, or agreement to create, incur, assume or guarantee any Indebtedness for borrowed money or entry into any “keep well” or other agreement to maintain the financial condition of another Person, or any arrangement having the economic effect of any of the foregoing (including entering into, as lessee, any capitalized lease obligations as defined in Statement of Financial Accounting Standards No. 13), in each case, by any Acquired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event, circumstance, condition or change relating or with respect to any Acquired Company that would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Bank Accounts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Schedule 3.01(w)</w:t>
      </w:r>
      <w:r>
        <w:rPr>
          <w:rFonts w:ascii="Times New Roman;Times;Serif" w:hAnsi="Times New Roman;Times;Serif"/>
          <w:b w:val="false"/>
          <w:i w:val="false"/>
          <w:caps w:val="false"/>
          <w:smallCaps w:val="false"/>
          <w:sz w:val="20"/>
        </w:rPr>
        <w:t> of the Disclosure Schedules sets forth the names and locations of banks, trust companies and other financial institutions at which any Acquired Company maintains bank accounts or safe deposit boxes, in each case listing the type of account, the account number, and the names of all Persons authorized to draw thereupon or who have access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Regulatory Status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of the date the Project Company first delivers test energy, the Project Company shall be an “Exempt Wholesale Generator.” As an Exempt Wholesale Generator, the Project Company shall be exempt from PUHCA to the extent provided for in 18 C.F.R. § 366.7(e), except as otherwise may be applicable under Section 1265 of PUHCA.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of the earlier of the date the Project Company first delivers test energy or owns energized interconnection facilities, each Acquired Company that directly or indirectly owns any equity interests in the Project Company will become a “holding company,” as defined in PUHCA, solely with respect to its direct or indirect, as applicable, ownership of the Project Company and, therefore, each such Acquired Company is entitled to the exemption as a holding company pursuant to 18 C.F.R. § 366.3(a). The Project Company is not a “holding company” as defined under PUHCA.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 of the Closing Date, Purchaser, solely by virtue of its indirect ownership of the Project Company, will not be subject to, or will not lose the exemption from: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regulation under PUHCA as an “electric utility company,” a “public utility company,” or a “holding company,” in each case as defined under PUHCA, except to the extent such regulation under PUHCA applies to a “holding company” solely with respect to an Exempt Wholesale Generator;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regulation as a “public utility” under the FPA;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regulation by the MPSC as a “public utility” or an “electrical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of the date that the Project Company first delivers test energy, the Project Company shall be a “public utility” as that term is defined under FPA Section 201(e) and shall have received MBR Authorization. No Acquired Company is subject to regulation by the MPSC as a “public utility” or an “electrical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Support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Part 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xml:space="preserve"> of the Disclosure Schedules sets forth a true, complete and correct list of all the Support Obligations for which Purchaser shall be required to use commercially reasonable efforts to replace and/or effect the release of pursuant to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Part II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xml:space="preserve"> of the Disclosure Schedules sets forth a true, complete and correct list of all the Support Obligations for which Purchaser shall not be required to replace or effect the release of pursuant to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Reports</w:t>
      </w:r>
      <w:r>
        <w:rPr>
          <w:rFonts w:ascii="Times New Roman;Times;Serif" w:hAnsi="Times New Roman;Times;Serif"/>
          <w:b w:val="false"/>
          <w:i w:val="false"/>
          <w:caps w:val="false"/>
          <w:smallCaps w:val="false"/>
          <w:sz w:val="20"/>
        </w:rPr>
        <w:t>. Seller has made available to Purchaser true, complete and correct copies of all Reports delivered pursuant to the Tax Equity ECCA as of the Execution Date. As of the Closing Date, Seller has made available to Purchaser true, correct and complete copies of all Reports that were not made available to Purchaser on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Projections</w:t>
      </w:r>
      <w:r>
        <w:rPr>
          <w:rFonts w:ascii="Times New Roman;Times;Serif" w:hAnsi="Times New Roman;Times;Serif"/>
          <w:b w:val="false"/>
          <w:i w:val="false"/>
          <w:caps w:val="false"/>
          <w:smallCaps w:val="false"/>
          <w:sz w:val="20"/>
        </w:rPr>
        <w:t>. Seller has prepared the financial projections for the Acquired Companies, which are reflected in the Base Case Model (the “</w:t>
      </w:r>
      <w:r>
        <w:rPr>
          <w:rFonts w:ascii="Times New Roman;Times;Serif" w:hAnsi="Times New Roman;Times;Serif"/>
          <w:b w:val="false"/>
          <w:i/>
          <w:caps w:val="false"/>
          <w:smallCaps w:val="false"/>
          <w:sz w:val="20"/>
        </w:rPr>
        <w:t>Projections</w:t>
      </w:r>
      <w:r>
        <w:rPr>
          <w:rFonts w:ascii="Times New Roman;Times;Serif" w:hAnsi="Times New Roman;Times;Serif"/>
          <w:b w:val="false"/>
          <w:i w:val="false"/>
          <w:caps w:val="false"/>
          <w:smallCaps w:val="false"/>
          <w:sz w:val="20"/>
        </w:rPr>
        <w:t>”), in good faith. To the Knowledge of Seller, the Projections: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are based on reasonable assumptions;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reflect all material payments to be made by the Acquired Companies to Seller or its Affiliates;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as to operation and maintenance expenses, are consistent in all material respects with Prudent Industry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Solvency</w:t>
      </w:r>
      <w:r>
        <w:rPr>
          <w:rFonts w:ascii="Times New Roman;Times;Serif" w:hAnsi="Times New Roman;Times;Serif"/>
          <w:b w:val="false"/>
          <w:i w:val="false"/>
          <w:caps w:val="false"/>
          <w:smallCaps w:val="false"/>
          <w:sz w:val="20"/>
        </w:rPr>
        <w:t>. There are no bankruptcy, reorganization or receivership proceedings pending against, being contemplated by or, to the Knowledge of Seller, threatened in writing against, Seller or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No Other Warranties</w:t>
      </w:r>
      <w:r>
        <w:rPr>
          <w:rFonts w:ascii="Times New Roman;Times;Serif" w:hAnsi="Times New Roman;Times;Serif"/>
          <w:b w:val="false"/>
          <w:i w:val="false"/>
          <w:caps w:val="false"/>
          <w:smallCaps w:val="false"/>
          <w:sz w:val="20"/>
        </w:rPr>
        <w:t xml:space="preserve">. EXCEPT FOR THE WARRANTIES SET FORTH HEREIN, THE ACQUIRED INTERESTS ARE BEING SOLD HEREUNDER ON AN “AS IS,” “WHERE IS” BASIS. THE WARRANTIES SET FORTH HEREIN ARE EXCLUSIVE AND ARE IN LIEU OF ALL OTHER WARRANTIES, WHETHER STATUTORY, WRITTEN OR ORAL, EXPRESS OR IMPLIED; SELLER PROVIDES NO OTHER WARRANTIES WITH RESPECT TO THE ACQUIRED INTERESTS, THE PROJECT, THE ACQUIRED COMPANIES, OR THE ASSETS OF THE ACQUIRED COMPANIES, INCLUDING IMPLIED WARRANTIES OF MERCHANTABILITY AND FITNESS FOR A PARTICULAR PURPOSE, AND WARRANTIES ARISING FROM COURSE OF DEALING OR USAGE OF TRADE, ALL OF WHICH ARE EXPRESSLY DISCLAIMED. EXCEPT AS EXPRESSLY SET FORTH IN </w:t>
      </w:r>
      <w:r>
        <w:rPr>
          <w:rFonts w:ascii="Times New Roman;Times;Serif" w:hAnsi="Times New Roman;Times;Serif"/>
          <w:b w:val="false"/>
          <w:i/>
          <w:caps w:val="false"/>
          <w:smallCaps w:val="false"/>
          <w:sz w:val="20"/>
        </w:rPr>
        <w:t>SECTION 3.01</w:t>
      </w:r>
      <w:r>
        <w:rPr>
          <w:rFonts w:ascii="Times New Roman;Times;Serif" w:hAnsi="Times New Roman;Times;Serif"/>
          <w:b w:val="false"/>
          <w:i w:val="false"/>
          <w:caps w:val="false"/>
          <w:smallCaps w:val="false"/>
          <w:sz w:val="20"/>
        </w:rPr>
        <w:t>, SELLER MAKES NO REPRESENTATION OR WARRANTY TO PURCHASER WITH RESPECT TO ANY FINANCIAL PROJECTIONS, FORECASTS OR FORWARD LOOKING STATEMENTS OF ANY KIND OR NATURE WHATSOEVER RELATING TO THE PROJECT, THE ACQUIRED COMPANIES, THE ASSETS OF THE ACQUIRED COMPANIES OR THE ACQUIRED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3.02.            </w:t>
      </w:r>
      <w:r>
        <w:rPr>
          <w:rFonts w:ascii="Times New Roman;Times;Serif" w:hAnsi="Times New Roman;Times;Serif"/>
          <w:b/>
          <w:i/>
          <w:caps w:val="false"/>
          <w:smallCaps w:val="false"/>
          <w:sz w:val="20"/>
        </w:rPr>
        <w:t>Representations and Warranties with Respect to Purchaser</w:t>
      </w:r>
      <w:r>
        <w:rPr>
          <w:rFonts w:ascii="Times New Roman;Times;Serif" w:hAnsi="Times New Roman;Times;Serif"/>
          <w:b w:val="false"/>
          <w:i w:val="false"/>
          <w:caps w:val="false"/>
          <w:smallCaps w:val="false"/>
          <w:sz w:val="20"/>
        </w:rPr>
        <w:t>. Purchaser hereby represents and warrants to Seller, as of the Execution Date and the Closing Date, as follows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representation and warranty set forth in this </w:t>
      </w:r>
      <w:r>
        <w:rPr>
          <w:rFonts w:ascii="Times New Roman;Times;Serif" w:hAnsi="Times New Roman;Times;Serif"/>
          <w:b w:val="false"/>
          <w:i/>
          <w:caps w:val="false"/>
          <w:smallCaps w:val="false"/>
          <w:sz w:val="20"/>
        </w:rPr>
        <w:t>Section 3.02</w:t>
      </w:r>
      <w:r>
        <w:rPr>
          <w:rFonts w:ascii="Times New Roman;Times;Serif" w:hAnsi="Times New Roman;Times;Serif"/>
          <w:b w:val="false"/>
          <w:i w:val="false"/>
          <w:caps w:val="false"/>
          <w:smallCaps w:val="false"/>
          <w:sz w:val="20"/>
        </w:rPr>
        <w:t xml:space="preserve"> and expressly stated to be made only as of a specified date shall be made solely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Existence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Purchaser is a limited liability company duly formed, validly existing and in good standing under the Laws of the 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Authority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All actions or proceedings necessary to authorize the execution and delivery by Purchaser of this Agreement, and the performance by Purchaser of its obligations hereunder, have been duly and validly taken. This Agreement has been duly and validly executed and delivered by Purchaser and constitutes the legal, valid and binding obligations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 Consent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Except as disclosed on </w:t>
      </w:r>
      <w:r>
        <w:rPr>
          <w:rFonts w:ascii="Times New Roman;Times;Serif" w:hAnsi="Times New Roman;Times;Serif"/>
          <w:b w:val="false"/>
          <w:i/>
          <w:caps w:val="false"/>
          <w:smallCaps w:val="false"/>
          <w:sz w:val="20"/>
        </w:rPr>
        <w:t>Schedule 3.02(c)</w:t>
      </w:r>
      <w:r>
        <w:rPr>
          <w:rFonts w:ascii="Times New Roman;Times;Serif" w:hAnsi="Times New Roman;Times;Serif"/>
          <w:b w:val="false"/>
          <w:i w:val="false"/>
          <w:caps w:val="false"/>
          <w:smallCaps w:val="false"/>
          <w:sz w:val="20"/>
        </w:rPr>
        <w:t> of the Disclosure Schedules, and except as would not, individually or in the aggregate,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No Conflicts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execution, delivery and performance of this Agreement by Purchaser does not and will not: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conflict with, result in a breach of, or constitute a default under, Purchaser’s Constitutive Documents, or any material Contract to which Purchaser is a party;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result in the creation of any Lien upon any of the assets or properties of Purchaser;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Permits and Filings</w:t>
      </w:r>
      <w:r>
        <w:rPr>
          <w:rFonts w:ascii="Times New Roman;Times;Serif" w:hAnsi="Times New Roman;Times;Serif"/>
          <w:b w:val="false"/>
          <w:i w:val="false"/>
          <w:caps w:val="false"/>
          <w:smallCaps w:val="false"/>
          <w:sz w:val="20"/>
        </w:rPr>
        <w:t xml:space="preserve">. Except as disclosed on </w:t>
      </w:r>
      <w:r>
        <w:rPr>
          <w:rFonts w:ascii="Times New Roman;Times;Serif" w:hAnsi="Times New Roman;Times;Serif"/>
          <w:b w:val="false"/>
          <w:i/>
          <w:caps w:val="false"/>
          <w:smallCaps w:val="false"/>
          <w:sz w:val="20"/>
        </w:rPr>
        <w:t>Schedule 3.02(e)</w:t>
      </w:r>
      <w:r>
        <w:rPr>
          <w:rFonts w:ascii="Times New Roman;Times;Serif" w:hAnsi="Times New Roman;Times;Serif"/>
          <w:b w:val="false"/>
          <w:i w:val="false"/>
          <w:caps w:val="false"/>
          <w:smallCaps w:val="false"/>
          <w:sz w:val="20"/>
        </w:rPr>
        <w:t> of the Disclosure Schedules, no Permit is required on the part of Purchaser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Legal Proceedings</w:t>
      </w:r>
      <w:r>
        <w:rPr>
          <w:rFonts w:ascii="Times New Roman;Times;Serif" w:hAnsi="Times New Roman;Times;Serif"/>
          <w:b w:val="false"/>
          <w:i w:val="false"/>
          <w:caps w:val="false"/>
          <w:smallCaps w:val="false"/>
          <w:sz w:val="20"/>
        </w:rPr>
        <w:t>. There are no Actions or Proceedings pending or, to the Knowledge of Purchaser, threatened as of the Execution Date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Purchase for Investment</w:t>
      </w:r>
      <w:r>
        <w:rPr>
          <w:rFonts w:ascii="Times New Roman;Times;Serif" w:hAnsi="Times New Roman;Times;Serif"/>
          <w:b w:val="false"/>
          <w:i w:val="false"/>
          <w:caps w:val="false"/>
          <w:smallCaps w:val="false"/>
          <w:sz w:val="20"/>
        </w:rPr>
        <w:t>. Purchaser: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is acquiring the Acquired Interests for its own account and not with a view to distribution;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is an “accredited investor” as such term is defined in Rule 501(a) under the Securities Act of 1933;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has sufficient knowledge and experience in financial and business matters so as to be able to evaluate the merits and risk of an investment in the Acquired Interests and is able financially to bear the risks thereof; and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registration requirements of such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Brokers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3.02(h)</w:t>
      </w:r>
      <w:r>
        <w:rPr>
          <w:rFonts w:ascii="Times New Roman;Times;Serif" w:hAnsi="Times New Roman;Times;Serif"/>
          <w:b w:val="false"/>
          <w:i w:val="false"/>
          <w:caps w:val="false"/>
          <w:smallCaps w:val="false"/>
          <w:sz w:val="20"/>
        </w:rPr>
        <w:t> of the Disclosure Schedules, no Person has any claim against Purchaser for a finder’s fee, brokerage commission or similar payment directly or indirectly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Governmental Approvals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3.02(i)</w:t>
      </w:r>
      <w:r>
        <w:rPr>
          <w:rFonts w:ascii="Times New Roman;Times;Serif" w:hAnsi="Times New Roman;Times;Serif"/>
          <w:b w:val="false"/>
          <w:i w:val="false"/>
          <w:caps w:val="false"/>
          <w:smallCaps w:val="false"/>
          <w:sz w:val="20"/>
        </w:rPr>
        <w:t> of the Disclosure Schedules or which have already been obtained, no Governmental Approval is required on the part of Purchaser in connection with the execution, delivery and performance of this Agreement or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Compliance with Laws</w:t>
      </w:r>
      <w:r>
        <w:rPr>
          <w:rFonts w:ascii="Times New Roman;Times;Serif" w:hAnsi="Times New Roman;Times;Serif"/>
          <w:b w:val="false"/>
          <w:i w:val="false"/>
          <w:caps w:val="false"/>
          <w:smallCaps w:val="false"/>
          <w:sz w:val="20"/>
        </w:rPr>
        <w:t>. Purchaser is not in material violation of any Law except where any such material violation would not in the aggregate reasonably be expected to have a material adverse effect on Purchaser’s ability to satisfy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Due Diligence</w:t>
      </w:r>
      <w:r>
        <w:rPr>
          <w:rFonts w:ascii="Times New Roman;Times;Serif" w:hAnsi="Times New Roman;Times;Serif"/>
          <w:b w:val="false"/>
          <w:i w:val="false"/>
          <w:caps w:val="false"/>
          <w:smallCaps w:val="false"/>
          <w:sz w:val="20"/>
        </w:rPr>
        <w:t xml:space="preserve">. Purchaser, or its Representatives, have had the opportunity to conduct all such due diligence investigations of the Acquired Interests, the Acquired Companies and the Project as they deemed necessary or advisable in connection with entering into this Agreement and the related documents and the transactions contemplated hereby and thereby. </w:t>
      </w:r>
      <w:r>
        <w:rPr>
          <w:rFonts w:ascii="Times New Roman;Times;Serif" w:hAnsi="Times New Roman;Times;Serif"/>
          <w:b w:val="false"/>
          <w:i w:val="false"/>
          <w:caps/>
          <w:sz w:val="20"/>
        </w:rPr>
        <w:t xml:space="preserve">Purchaser has relied solely on its independent investigation and the representations and warranties made by Seller in </w:t>
      </w:r>
      <w:r>
        <w:rPr>
          <w:rFonts w:ascii="Times New Roman;Times;Serif" w:hAnsi="Times New Roman;Times;Serif"/>
          <w:b w:val="false"/>
          <w:i/>
          <w:caps/>
          <w:sz w:val="20"/>
        </w:rPr>
        <w:t>Section 3.01</w:t>
      </w:r>
      <w:r>
        <w:rPr>
          <w:rFonts w:ascii="Times New Roman;Times;Serif" w:hAnsi="Times New Roman;Times;Serif"/>
          <w:b w:val="false"/>
          <w:i w:val="false"/>
          <w:caps/>
          <w:sz w:val="20"/>
        </w:rPr>
        <w:t xml:space="preserve"> in making its decision to acquire the Acquired Interests and has not relied on any other statements or advice from Seller or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t>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4.01.       </w:t>
      </w:r>
      <w:r>
        <w:rPr>
          <w:rFonts w:ascii="Times New Roman;Times;Serif" w:hAnsi="Times New Roman;Times;Serif"/>
          <w:b/>
          <w:i/>
          <w:caps w:val="false"/>
          <w:smallCaps w:val="false"/>
          <w:sz w:val="20"/>
        </w:rPr>
        <w:t>Closing Date Conditions Precedent of the Parties</w:t>
      </w:r>
      <w:r>
        <w:rPr>
          <w:rFonts w:ascii="Times New Roman;Times;Serif" w:hAnsi="Times New Roman;Times;Serif"/>
          <w:b w:val="false"/>
          <w:i w:val="false"/>
          <w:caps w:val="false"/>
          <w:smallCaps w:val="false"/>
          <w:sz w:val="20"/>
        </w:rPr>
        <w:t>. The obligations of each Party to consummate the Closing are subject to the fulfillment (or waiver by the applicable Party), at or before the Closing, by the applicable Party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Tax Equity Financing</w:t>
      </w:r>
      <w:r>
        <w:rPr>
          <w:rFonts w:ascii="Times New Roman;Times;Serif" w:hAnsi="Times New Roman;Times;Serif"/>
          <w:b w:val="false"/>
          <w:i w:val="false"/>
          <w:caps w:val="false"/>
          <w:smallCaps w:val="false"/>
          <w:sz w:val="20"/>
        </w:rPr>
        <w:t>. The Project MC Funding under the Tax Equity ECCA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Financing</w:t>
      </w:r>
      <w:r>
        <w:rPr>
          <w:rFonts w:ascii="Times New Roman;Times;Serif" w:hAnsi="Times New Roman;Times;Serif"/>
          <w:b w:val="false"/>
          <w:i w:val="false"/>
          <w:caps w:val="false"/>
          <w:smallCaps w:val="false"/>
          <w:sz w:val="20"/>
        </w:rPr>
        <w:t>. The Financing Agreement will be executed by the relevant parties and any associated funds will be disbursed in accordance with the terms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Approvals/Consents</w:t>
      </w:r>
      <w:r>
        <w:rPr>
          <w:rFonts w:ascii="Times New Roman;Times;Serif" w:hAnsi="Times New Roman;Times;Serif"/>
          <w:b w:val="false"/>
          <w:i w:val="false"/>
          <w:caps w:val="false"/>
          <w:smallCaps w:val="false"/>
          <w:sz w:val="20"/>
        </w:rPr>
        <w:t xml:space="preserve">. All consents of Purchaser specified on </w:t>
      </w:r>
      <w:r>
        <w:rPr>
          <w:rFonts w:ascii="Times New Roman;Times;Serif" w:hAnsi="Times New Roman;Times;Serif"/>
          <w:b w:val="false"/>
          <w:i/>
          <w:caps w:val="false"/>
          <w:smallCaps w:val="false"/>
          <w:sz w:val="20"/>
        </w:rPr>
        <w:t>Schedule 3.02(c)</w:t>
      </w:r>
      <w:r>
        <w:rPr>
          <w:rFonts w:ascii="Times New Roman;Times;Serif" w:hAnsi="Times New Roman;Times;Serif"/>
          <w:b w:val="false"/>
          <w:i w:val="false"/>
          <w:caps w:val="false"/>
          <w:smallCaps w:val="false"/>
          <w:sz w:val="20"/>
        </w:rPr>
        <w:t xml:space="preserve"> of the Disclosure Schedules and all approvals of Purchaser specified in </w:t>
      </w:r>
      <w:r>
        <w:rPr>
          <w:rFonts w:ascii="Times New Roman;Times;Serif" w:hAnsi="Times New Roman;Times;Serif"/>
          <w:b w:val="false"/>
          <w:i/>
          <w:caps w:val="false"/>
          <w:smallCaps w:val="false"/>
          <w:sz w:val="20"/>
        </w:rPr>
        <w:t>Schedule 3.02(i)</w:t>
      </w:r>
      <w:r>
        <w:rPr>
          <w:rFonts w:ascii="Times New Roman;Times;Serif" w:hAnsi="Times New Roman;Times;Serif"/>
          <w:b w:val="false"/>
          <w:i w:val="false"/>
          <w:caps w:val="false"/>
          <w:smallCaps w:val="false"/>
          <w:sz w:val="20"/>
        </w:rPr>
        <w:t> of the Disclosure Schedules shall have been obtained by Purchaser; and all Seller Approvals and Seller Consents shall have been obtained by Seller and shall in each case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Litigation</w:t>
      </w:r>
      <w:r>
        <w:rPr>
          <w:rFonts w:ascii="Times New Roman;Times;Serif" w:hAnsi="Times New Roman;Times;Serif"/>
          <w:b w:val="false"/>
          <w:i w:val="false"/>
          <w:caps w:val="false"/>
          <w:smallCaps w:val="false"/>
          <w:sz w:val="20"/>
        </w:rPr>
        <w:t>. No Order shall have been entered which restrains, enjoins or otherwise prohibits or makes illegal the 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There will not exist on the Closing Date any condition or fact that, individually or in the aggregate, has or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Seller Distribution</w:t>
      </w:r>
      <w:r>
        <w:rPr>
          <w:rFonts w:ascii="Times New Roman;Times;Serif" w:hAnsi="Times New Roman;Times;Serif"/>
          <w:b w:val="false"/>
          <w:i w:val="false"/>
          <w:caps w:val="false"/>
          <w:smallCaps w:val="false"/>
          <w:sz w:val="20"/>
        </w:rPr>
        <w:t>. Simultaneously with the occurrence of the Closing, the Seller Distribution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TE HoldCo MIPA</w:t>
      </w:r>
      <w:r>
        <w:rPr>
          <w:rFonts w:ascii="Times New Roman;Times;Serif" w:hAnsi="Times New Roman;Times;Serif"/>
          <w:b w:val="false"/>
          <w:i w:val="false"/>
          <w:caps w:val="false"/>
          <w:smallCaps w:val="false"/>
          <w:sz w:val="20"/>
        </w:rPr>
        <w:t>. The “Closing” (or other equivalent term) (to be defined in the TE HoldCo MIPA) under the TE HoldCo MIPA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4.02.       </w:t>
      </w:r>
      <w:r>
        <w:rPr>
          <w:rFonts w:ascii="Times New Roman;Times;Serif" w:hAnsi="Times New Roman;Times;Serif"/>
          <w:b/>
          <w:i/>
          <w:caps w:val="false"/>
          <w:smallCaps w:val="false"/>
          <w:sz w:val="20"/>
        </w:rPr>
        <w:t>Closing Date Conditions Precedent of the Purchaser</w:t>
      </w:r>
      <w:r>
        <w:rPr>
          <w:rFonts w:ascii="Times New Roman;Times;Serif" w:hAnsi="Times New Roman;Times;Serif"/>
          <w:b w:val="false"/>
          <w:i w:val="false"/>
          <w:caps w:val="false"/>
          <w:smallCaps w:val="false"/>
          <w:sz w:val="20"/>
        </w:rPr>
        <w:t>. The obligations of the Purchaser to consummate the Closing are subject to the fulfillment (or waiver by the Purchaser), at or before the Closing, by the applicable Party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Seller Representations and Warranties</w:t>
      </w:r>
      <w:r>
        <w:rPr>
          <w:rFonts w:ascii="Times New Roman;Times;Serif" w:hAnsi="Times New Roman;Times;Serif"/>
          <w:b w:val="false"/>
          <w:i w:val="false"/>
          <w:caps w:val="false"/>
          <w:smallCaps w:val="false"/>
          <w:sz w:val="20"/>
        </w:rPr>
        <w:t>. The representations and warranties made by Seller in this Agreement shall be true and correct in all material respects (except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each Fundamental Representation made by Seller shall be true and correct in all respects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Seller Covenants</w:t>
      </w:r>
      <w:r>
        <w:rPr>
          <w:rFonts w:ascii="Times New Roman;Times;Serif" w:hAnsi="Times New Roman;Times;Serif"/>
          <w:b w:val="false"/>
          <w:i w:val="false"/>
          <w:caps w:val="false"/>
          <w:smallCaps w:val="false"/>
          <w:sz w:val="20"/>
        </w:rPr>
        <w:t>. The covenants and obligations required by this Agreement to be performed or complied with by Seller at or before the Closing Date have been duly performed or complied with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Withholding Certificate</w:t>
      </w:r>
      <w:r>
        <w:rPr>
          <w:rFonts w:ascii="Times New Roman;Times;Serif" w:hAnsi="Times New Roman;Times;Serif"/>
          <w:b w:val="false"/>
          <w:i w:val="false"/>
          <w:caps w:val="false"/>
          <w:smallCaps w:val="false"/>
          <w:sz w:val="20"/>
        </w:rPr>
        <w:t xml:space="preserve">. Seller shall have delivered to Purchaser a valid, properly executed IRS Form W-9 (or, if Seller is an entity treated as disregarded as separate from its owner for federal income tax purposes, Seller’s regarded owner for federal income tax purposes);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Purchaser’s (and the Target Company’s) sole right if Seller fails to provide such IRS Form W-9 shall be to make appropriate withholdings under Sections 1445 and 1446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Seller shall have delivered to Purchaser: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a certificate, dated as of the Closing Date and executed by an authorized officer of Seller substantially in the form and to the effect of </w:t>
      </w:r>
      <w:r>
        <w:rPr>
          <w:rFonts w:ascii="Times New Roman;Times;Serif" w:hAnsi="Times New Roman;Times;Serif"/>
          <w:b w:val="false"/>
          <w:i/>
          <w:caps w:val="false"/>
          <w:smallCaps w:val="false"/>
          <w:sz w:val="20"/>
        </w:rPr>
        <w:t>Exhibit 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 certificate, dated as of the Closing Date and executed by the Secretary of Seller substantially in the form and to the effect of </w:t>
      </w:r>
      <w:r>
        <w:rPr>
          <w:rFonts w:ascii="Times New Roman;Times;Serif" w:hAnsi="Times New Roman;Times;Serif"/>
          <w:b w:val="false"/>
          <w:i/>
          <w:caps w:val="false"/>
          <w:smallCaps w:val="false"/>
          <w:sz w:val="20"/>
        </w:rPr>
        <w:t>Exhibit 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 commitment by the Title Company to issue the Closing Date Endorsements; and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copies of all recorded documents referred to, or listed as exceptions to title in, the Closing Date Endorsements.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A&amp;R LLCA</w:t>
      </w:r>
      <w:r>
        <w:rPr>
          <w:rFonts w:ascii="Times New Roman;Times;Serif" w:hAnsi="Times New Roman;Times;Serif"/>
          <w:b w:val="false"/>
          <w:i w:val="false"/>
          <w:caps w:val="false"/>
          <w:smallCaps w:val="false"/>
          <w:sz w:val="20"/>
        </w:rPr>
        <w:t>. Simultaneously with or prior to the Closing, Seller Parent shall have executed and delivered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Seller Guaranties</w:t>
      </w:r>
      <w:r>
        <w:rPr>
          <w:rFonts w:ascii="Times New Roman;Times;Serif" w:hAnsi="Times New Roman;Times;Serif"/>
          <w:b w:val="false"/>
          <w:i w:val="false"/>
          <w:caps w:val="false"/>
          <w:smallCaps w:val="false"/>
          <w:sz w:val="20"/>
        </w:rPr>
        <w:t>. Simultaneously with or prior to the Closing, Seller Parent shall have executed, and delivered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Tax Equity Investor, the Seller Tax Equity Guaranty;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Administrative Agent, the Seller Cash Diversion Guaranty;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any Tax Credit Purchaser, the Seller Tax Credit Transfer Guaranty,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4.03.       </w:t>
      </w:r>
      <w:r>
        <w:rPr>
          <w:rFonts w:ascii="Times New Roman;Times;Serif" w:hAnsi="Times New Roman;Times;Serif"/>
          <w:b/>
          <w:i/>
          <w:caps w:val="false"/>
          <w:smallCaps w:val="false"/>
          <w:sz w:val="20"/>
        </w:rPr>
        <w:t>Closing Date Conditions Precedent of the Seller</w:t>
      </w:r>
      <w:r>
        <w:rPr>
          <w:rFonts w:ascii="Times New Roman;Times;Serif" w:hAnsi="Times New Roman;Times;Serif"/>
          <w:b w:val="false"/>
          <w:i w:val="false"/>
          <w:caps w:val="false"/>
          <w:smallCaps w:val="false"/>
          <w:sz w:val="20"/>
        </w:rPr>
        <w:t>. The obligations of the Seller to consummate the Closing are subject to the fulfillment (or waiver by the Seller), at or before the Closing, by the applicable Party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Purchaser Representations and Warranties</w:t>
      </w:r>
      <w:r>
        <w:rPr>
          <w:rFonts w:ascii="Times New Roman;Times;Serif" w:hAnsi="Times New Roman;Times;Serif"/>
          <w:b w:val="false"/>
          <w:i w:val="false"/>
          <w:caps w:val="false"/>
          <w:smallCaps w:val="false"/>
          <w:sz w:val="20"/>
        </w:rPr>
        <w:t>. The representations and warranties made by Purchaser in this Agreement shall be true and correct in all material respects (except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each Fundamental Representation made by Purchaser shall be true and correct in all respects;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Purchaser Covenants</w:t>
      </w:r>
      <w:r>
        <w:rPr>
          <w:rFonts w:ascii="Times New Roman;Times;Serif" w:hAnsi="Times New Roman;Times;Serif"/>
          <w:b w:val="false"/>
          <w:i w:val="false"/>
          <w:caps w:val="false"/>
          <w:smallCaps w:val="false"/>
          <w:sz w:val="20"/>
        </w:rPr>
        <w:t>. The covenants and obligations required by this Agreement to be performed or complied with by Purchaser at or before the Closing Date have been duly performed or complied with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Purchaser shall have delivered to Seller: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a certificate, dated as of the Closing Date and executed by an authorized officer of Purchaser substantially in the form and to the effect of </w:t>
      </w:r>
      <w:r>
        <w:rPr>
          <w:rFonts w:ascii="Times New Roman;Times;Serif" w:hAnsi="Times New Roman;Times;Serif"/>
          <w:b w:val="false"/>
          <w:i/>
          <w:caps w:val="false"/>
          <w:smallCaps w:val="false"/>
          <w:sz w:val="20"/>
        </w:rPr>
        <w:t>Exhibit F</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 certificate, dated as of the Closing Date and executed by the Secretary of Purchaser substantially in the form and to the effect of </w:t>
      </w:r>
      <w:r>
        <w:rPr>
          <w:rFonts w:ascii="Times New Roman;Times;Serif" w:hAnsi="Times New Roman;Times;Serif"/>
          <w:b w:val="false"/>
          <w:i/>
          <w:caps w:val="false"/>
          <w:smallCaps w:val="false"/>
          <w:sz w:val="20"/>
        </w:rPr>
        <w:t>Exhibit 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A&amp;R LLCA</w:t>
      </w:r>
      <w:r>
        <w:rPr>
          <w:rFonts w:ascii="Times New Roman;Times;Serif" w:hAnsi="Times New Roman;Times;Serif"/>
          <w:b w:val="false"/>
          <w:i w:val="false"/>
          <w:caps w:val="false"/>
          <w:smallCaps w:val="false"/>
          <w:sz w:val="20"/>
        </w:rPr>
        <w:t>. Simultaneously with or prior to the Closing, Purchaser shall have executed and delivered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Purchaser Guaranties</w:t>
      </w:r>
      <w:r>
        <w:rPr>
          <w:rFonts w:ascii="Times New Roman;Times;Serif" w:hAnsi="Times New Roman;Times;Serif"/>
          <w:b w:val="false"/>
          <w:i w:val="false"/>
          <w:caps w:val="false"/>
          <w:smallCaps w:val="false"/>
          <w:sz w:val="20"/>
        </w:rPr>
        <w:t>. Simultaneously with or prior to the Closing, Purchaser Parent shall have executed, and delivered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Tax Equity Investor, the Purchaser Tax Equity Guaranty;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Administrative Agent, the Purchaser Cash Diversion Guaranty;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any Tax Credit Purchaser, the Purchaser Tax Credit Transfer Guaranty,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t>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5.01.       </w:t>
      </w:r>
      <w:r>
        <w:rPr>
          <w:rFonts w:ascii="Times New Roman;Times;Serif" w:hAnsi="Times New Roman;Times;Serif"/>
          <w:b/>
          <w:i/>
          <w:caps w:val="false"/>
          <w:smallCaps w:val="false"/>
          <w:sz w:val="20"/>
        </w:rPr>
        <w:t>Regulatory and Other Permits</w:t>
      </w:r>
      <w:r>
        <w:rPr>
          <w:rFonts w:ascii="Times New Roman;Times;Serif" w:hAnsi="Times New Roman;Times;Serif"/>
          <w:b w:val="false"/>
          <w:i w:val="false"/>
          <w:caps w:val="false"/>
          <w:smallCaps w:val="false"/>
          <w:sz w:val="20"/>
        </w:rPr>
        <w:t xml:space="preserve">. Following the Execution Date, Seller shall, or shall cause the Acquired Companies to, as promptly as practicable, use commercially reasonable efforts to make all filings with all 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Without limiting the generality of the foregoing, prior to the first sale of test power from the Project, the Project Company shall have obtained EWG status.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for the Project. Seller shall provide a status report to Purchaser upon the reasonable request of Purchaser. Seller shall use commercially reasonable efforts not to cause its Representatives, or the Acquired Companies or other Affiliates of Seller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w:t>
      </w:r>
      <w:r>
        <w:rPr>
          <w:rFonts w:ascii="Times New Roman;Times;Serif" w:hAnsi="Times New Roman;Times;Serif"/>
          <w:b w:val="false"/>
          <w:i/>
          <w:caps w:val="false"/>
          <w:smallCaps w:val="false"/>
          <w:sz w:val="20"/>
        </w:rPr>
        <w:t>Section 5.01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5.02.       </w:t>
      </w:r>
      <w:r>
        <w:rPr>
          <w:rFonts w:ascii="Times New Roman;Times;Serif" w:hAnsi="Times New Roman;Times;Serif"/>
          <w:b/>
          <w:i/>
          <w:caps w:val="false"/>
          <w:smallCaps w:val="false"/>
          <w:sz w:val="20"/>
        </w:rPr>
        <w:t>Access to Information</w:t>
      </w:r>
      <w:r>
        <w:rPr>
          <w:rFonts w:ascii="Times New Roman;Times;Serif" w:hAnsi="Times New Roman;Times;Serif"/>
          <w:b w:val="false"/>
          <w:i w:val="false"/>
          <w:caps w:val="false"/>
          <w:smallCaps w:val="false"/>
          <w:sz w:val="20"/>
        </w:rPr>
        <w:t>. From the Execution Date and continuing until the earlier of the termination of this Agreement or the Closing Date (the “</w:t>
      </w:r>
      <w:r>
        <w:rPr>
          <w:rFonts w:ascii="Times New Roman;Times;Serif" w:hAnsi="Times New Roman;Times;Serif"/>
          <w:b w:val="false"/>
          <w:i/>
          <w:caps w:val="false"/>
          <w:smallCaps w:val="false"/>
          <w:sz w:val="20"/>
        </w:rPr>
        <w:t>Interim Period</w:t>
      </w:r>
      <w:r>
        <w:rPr>
          <w:rFonts w:ascii="Times New Roman;Times;Serif" w:hAnsi="Times New Roman;Times;Serif"/>
          <w:b w:val="false"/>
          <w:i w:val="false"/>
          <w:caps w:val="false"/>
          <w:smallCaps w:val="false"/>
          <w:sz w:val="20"/>
        </w:rPr>
        <w:t xml:space="preserve">”), Seller shall at all reasonable times and upon reasonable prior notice during regular business hours make the properties, assets, books and records pertaining to the Acquired Companies, the Acquired Interests or the Project reasonably available for examination, inspection and review by Purchaser and its Representatives;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Purchaser and its Representatives shall be subject to customary confidentiality undertakings with respect to any such information or access made available;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for any site visit or access, Purchaser and its Representatives will agree to comply with all safety and other policies and procedures disclosed to it while conducting such visit or access;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Purchaser’s and its Representatives’ inspections and examinations shall not unreasonably disrupt the normal operations of Seller, the Acquired Companies or the Project and shall be at Purchaser’s sole cost and expense;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neither Purchaser, nor any of its Affiliates or Representatives, shall conduct any intrusive environmental site assessment or activities with respect to the Acquired Companies or their properties without the prior written consent of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5.03.       </w:t>
      </w:r>
      <w:r>
        <w:rPr>
          <w:rFonts w:ascii="Times New Roman;Times;Serif" w:hAnsi="Times New Roman;Times;Serif"/>
          <w:b/>
          <w:i/>
          <w:caps w:val="false"/>
          <w:smallCaps w:val="false"/>
          <w:sz w:val="20"/>
        </w:rPr>
        <w:t>Notification of Certain Matters</w:t>
      </w:r>
      <w:r>
        <w:rPr>
          <w:rFonts w:ascii="Times New Roman;Times;Serif" w:hAnsi="Times New Roman;Times;Serif"/>
          <w:b w:val="false"/>
          <w:i w:val="false"/>
          <w:caps w:val="false"/>
          <w:smallCaps w:val="false"/>
          <w:sz w:val="20"/>
        </w:rPr>
        <w:t>. Seller shall have the right to deliver to Purchaser, not later than ten (10) Business Days prior to the Closing Date, a supplement to the Disclosure Schedules (the “</w:t>
      </w:r>
      <w:r>
        <w:rPr>
          <w:rFonts w:ascii="Times New Roman;Times;Serif" w:hAnsi="Times New Roman;Times;Serif"/>
          <w:b w:val="false"/>
          <w:i/>
          <w:caps w:val="false"/>
          <w:smallCaps w:val="false"/>
          <w:sz w:val="20"/>
        </w:rPr>
        <w:t>Closing Date Schedule Supplement</w:t>
      </w:r>
      <w:r>
        <w:rPr>
          <w:rFonts w:ascii="Times New Roman;Times;Serif" w:hAnsi="Times New Roman;Times;Serif"/>
          <w:b w:val="false"/>
          <w:i w:val="false"/>
          <w:caps w:val="false"/>
          <w:smallCaps w:val="false"/>
          <w:sz w:val="20"/>
        </w:rPr>
        <w:t xml:space="preserve">”) to disclose any matter arising after the date hereof, that, if existing at or arising prior to the date hereof, would have been required to be set forth in the Disclosure Schedules for the representations and warranties of Seller set forth herein to be true and correct as of the date hereof, and the Disclosure Schedules shall be deemed to be modified, supplemented and amended to include the items listed in the Closing Date Schedule Supplement for all purposes hereunder, other than to cure any breach or inaccuracy of any representation or warranty of Seller contained in this Agreement for purposes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If any item set forth in the Closing Date Schedule Supplement discloses any event, circumstance or development that, individually or in the aggregate when taken together with other previously disclosed events, circumstances or developments, would prevent any of the conditions set forth in ‎</w:t>
      </w:r>
      <w:r>
        <w:rPr>
          <w:rFonts w:ascii="Times New Roman;Times;Serif" w:hAnsi="Times New Roman;Times;Serif"/>
          <w:b w:val="false"/>
          <w:i/>
          <w:caps w:val="false"/>
          <w:smallCaps w:val="false"/>
          <w:sz w:val="20"/>
        </w:rPr>
        <w:t xml:space="preserve">Section 4.01 </w:t>
      </w:r>
      <w:r>
        <w:rPr>
          <w:rFonts w:ascii="Times New Roman;Times;Serif" w:hAnsi="Times New Roman;Times;Serif"/>
          <w:b w:val="false"/>
          <w:i w:val="false"/>
          <w:caps w:val="false"/>
          <w:smallCaps w:val="false"/>
          <w:sz w:val="20"/>
        </w:rPr>
        <w:t xml:space="preserve">(other than those conditions related to the bring-down of representations and warranties) to be satisfied, then Purchaser may terminate this Agreement by delivering notice of termination to Seller within ten (10) Business Days of its receipt of the Closing Date Schedule Supplement;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Purchaser does not deliver such notice within such ten (10) Business Day period, then Purchaser shall be deemed to have irrevocably waived its right to terminate this Agreement with respect to such item and its right to not consummate the transactions contemplated hereby with respect to such item, in each case, after giving effect to such item under any of the conditions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but shall not be deemed to have irrevocably waived its right to indemnification under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 xml:space="preserve"> with respect to such item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updates shall not give rise to any right of indemnification to the extent such updates are solely to reflect the execution of any Tax Equity Document pursuant to and in accordance with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5.04.       </w:t>
      </w:r>
      <w:r>
        <w:rPr>
          <w:rFonts w:ascii="Times New Roman;Times;Serif" w:hAnsi="Times New Roman;Times;Serif"/>
          <w:b/>
          <w:i/>
          <w:caps w:val="false"/>
          <w:smallCaps w:val="false"/>
          <w:sz w:val="20"/>
        </w:rPr>
        <w:t>Conduct of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Interim Period, and subject to </w:t>
      </w:r>
      <w:r>
        <w:rPr>
          <w:rFonts w:ascii="Times New Roman;Times;Serif" w:hAnsi="Times New Roman;Times;Serif"/>
          <w:b w:val="false"/>
          <w:i/>
          <w:caps w:val="false"/>
          <w:smallCaps w:val="false"/>
          <w:sz w:val="20"/>
        </w:rPr>
        <w:t>Section 5.04(b)</w:t>
      </w:r>
      <w:r>
        <w:rPr>
          <w:rFonts w:ascii="Times New Roman;Times;Serif" w:hAnsi="Times New Roman;Times;Serif"/>
          <w:b w:val="false"/>
          <w:i w:val="false"/>
          <w:caps w:val="false"/>
          <w:smallCaps w:val="false"/>
          <w:sz w:val="20"/>
        </w:rPr>
        <w:t xml:space="preserve">, Seller shall cause each Acquired Company to operate and carry on its business in the ordinary course and substantially as operated prior to the Execution Date. Without limiting the foregoing, and subject to </w:t>
      </w:r>
      <w:r>
        <w:rPr>
          <w:rFonts w:ascii="Times New Roman;Times;Serif" w:hAnsi="Times New Roman;Times;Serif"/>
          <w:b w:val="false"/>
          <w:i/>
          <w:caps w:val="false"/>
          <w:smallCaps w:val="false"/>
          <w:sz w:val="20"/>
        </w:rPr>
        <w:t>Section 5.04(b)</w:t>
      </w:r>
      <w:r>
        <w:rPr>
          <w:rFonts w:ascii="Times New Roman;Times;Serif" w:hAnsi="Times New Roman;Times;Serif"/>
          <w:b w:val="false"/>
          <w:i w:val="false"/>
          <w:caps w:val="false"/>
          <w:smallCaps w:val="false"/>
          <w:sz w:val="20"/>
        </w:rPr>
        <w:t>, Seller shall cause each Acquired Company to perform in all material respects the Company Contracts to which such Acquired Company is a party and use commercially reasonable efforts consistent with good business practice to preserve the goodwill of the suppliers, contractors, lenders, Governmental Authorities, licensors, customers, distributors and others having business relations with the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w:t>
      </w:r>
      <w:r>
        <w:rPr>
          <w:rFonts w:ascii="Times New Roman;Times;Serif" w:hAnsi="Times New Roman;Times;Serif"/>
          <w:b w:val="false"/>
          <w:i/>
          <w:caps w:val="false"/>
          <w:smallCaps w:val="false"/>
          <w:sz w:val="20"/>
        </w:rPr>
        <w:t>Section 5.04(a)</w:t>
      </w:r>
      <w:r>
        <w:rPr>
          <w:rFonts w:ascii="Times New Roman;Times;Serif" w:hAnsi="Times New Roman;Times;Serif"/>
          <w:b w:val="false"/>
          <w:i w:val="false"/>
          <w:caps w:val="false"/>
          <w:smallCaps w:val="false"/>
          <w:sz w:val="20"/>
        </w:rPr>
        <w:t>, except: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as set forth on </w:t>
      </w:r>
      <w:r>
        <w:rPr>
          <w:rFonts w:ascii="Times New Roman;Times;Serif" w:hAnsi="Times New Roman;Times;Serif"/>
          <w:b w:val="false"/>
          <w:i/>
          <w:caps w:val="false"/>
          <w:smallCaps w:val="false"/>
          <w:sz w:val="20"/>
        </w:rPr>
        <w:t>Schedule 5.04(b)</w:t>
      </w:r>
      <w:r>
        <w:rPr>
          <w:rFonts w:ascii="Times New Roman;Times;Serif" w:hAnsi="Times New Roman;Times;Serif"/>
          <w:b w:val="false"/>
          <w:i w:val="false"/>
          <w:caps w:val="false"/>
          <w:smallCaps w:val="false"/>
          <w:sz w:val="20"/>
        </w:rPr>
        <w:t> of the Disclosure Schedules;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as would not be reasonably likely to cause a Major Project Change (with respect to clauses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N</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caps w:val="false"/>
          <w:smallCaps w:val="false"/>
          <w:sz w:val="20"/>
        </w:rPr>
        <w:t>Section 5.04(b)</w:t>
      </w:r>
      <w:r>
        <w:rPr>
          <w:rFonts w:ascii="Times New Roman;Times;Serif" w:hAnsi="Times New Roman;Times;Serif"/>
          <w:b w:val="false"/>
          <w:i w:val="false"/>
          <w:caps w:val="false"/>
          <w:smallCaps w:val="false"/>
          <w:sz w:val="20"/>
        </w:rPr>
        <w:t> only);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with the express written approval of Purchaser, such approval not to be unreasonably withheld or delayed, during the Interim Period, Seller shall cause each Acquired Company not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transfer any of the Acquired Interests to any Person or create or suffer to exist any Lien upon the Acquired Interests other than the Permitted Equity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issue, grant, deliver or sell or authorize or propose to issue, grant, deliver or sell, or purchase or propose to purchase, any of its equity securities (other than the sale and delivery of the Acquired Interests pursuant to this Agreement, the issuance of membership interests in TE HoldCo pursuant to the Tax Equity ECCA, and the sale of interests in the Pledgor Company pursuant to the TE HoldCo MIPA), options, warrants, calls, rights, exchangeable or convertible securities, commitments or agreements of any character, written or oral, obligating it to issue, deliver, sell, repurchase or redeem, or cause to be issued, delivered, sold, repurchased or redeemed, any of its equity securities (other than pursuant to this Agreement, the Tax Equity ECCA and the TE HoldCo MIPA);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declare, set aside or pay any dividends on or make any other distributions in respect of the Acquired Interests, or combine, split or reclassify any of the Acquired Interests or issue or authorize the issuance of any other securities in respect of, in lieu of or in substitution for any of the Acquired Interests, other than distributions to Seller of any loan proceeds received under the Financing Agreement (in accordance therewith) or any other amounts described in </w:t>
      </w:r>
      <w:r>
        <w:rPr>
          <w:rFonts w:ascii="Times New Roman;Times;Serif" w:hAnsi="Times New Roman;Times;Serif"/>
          <w:b w:val="false"/>
          <w:i/>
          <w:caps w:val="false"/>
          <w:smallCaps w:val="false"/>
          <w:sz w:val="20"/>
        </w:rPr>
        <w:t>Section 2.05</w:t>
      </w:r>
      <w:r>
        <w:rPr>
          <w:rFonts w:ascii="Times New Roman;Times;Serif" w:hAnsi="Times New Roman;Times;Serif"/>
          <w:b w:val="false"/>
          <w:i w:val="false"/>
          <w:caps w:val="false"/>
          <w:smallCaps w:val="false"/>
          <w:sz w:val="20"/>
        </w:rPr>
        <w:t xml:space="preserve"> or in any of clauses (i) through (vi) of Section 5.07(a) of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take any action or enter into any commitment with respect to or in contemplation of any liquidation, dissolution, recapitalization, reorganization or other winding up of business or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open or establish any new accounts with financial institutions, other than as required by any Financing Document or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make any material change in its business or operations, except such changes as may be required to comply with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make any material capital expenditures (or enter into any Contracts in respect of material capital expenditures) other than as contemplated by the Company Contracts or any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merge any Acquired Company into or with any other Person or consolidate any Acquired Company with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enter into any Contract for the purchase of real property or any interests therein, other than as contemplated by any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acquire, or enter into any Contract for any acquisitions (by merger, consolidation, or acquisition of stock or assets or any other business combination), of any Person or business or any division thereof, other than as contemplated by any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sell, lease (as lessor), transfer or otherwise dispose of (including any transfers to any of its Affiliates), or mortgage or pledge, or impose or suffer to be imposed any Lien on, any of its assets or properties, other than: (</w:t>
      </w:r>
      <w:r>
        <w:rPr>
          <w:rFonts w:ascii="Times New Roman;Times;Serif" w:hAnsi="Times New Roman;Times;Serif"/>
          <w:b w:val="false"/>
          <w:i/>
          <w:caps w:val="false"/>
          <w:smallCaps w:val="false"/>
          <w:sz w:val="20"/>
        </w:rPr>
        <w:t>1</w:t>
      </w:r>
      <w:r>
        <w:rPr>
          <w:rFonts w:ascii="Times New Roman;Times;Serif" w:hAnsi="Times New Roman;Times;Serif"/>
          <w:b w:val="false"/>
          <w:i w:val="false"/>
          <w:caps w:val="false"/>
          <w:smallCaps w:val="false"/>
          <w:sz w:val="20"/>
        </w:rPr>
        <w:t>) inventory and personal property sold or otherwise disposed of in the ordinary course of business; (</w:t>
      </w:r>
      <w:r>
        <w:rPr>
          <w:rFonts w:ascii="Times New Roman;Times;Serif" w:hAnsi="Times New Roman;Times;Serif"/>
          <w:b w:val="false"/>
          <w:i/>
          <w:caps w:val="false"/>
          <w:smallCaps w:val="false"/>
          <w:sz w:val="20"/>
        </w:rPr>
        <w:t>2</w:t>
      </w:r>
      <w:r>
        <w:rPr>
          <w:rFonts w:ascii="Times New Roman;Times;Serif" w:hAnsi="Times New Roman;Times;Serif"/>
          <w:b w:val="false"/>
          <w:i w:val="false"/>
          <w:caps w:val="false"/>
          <w:smallCaps w:val="false"/>
          <w:sz w:val="20"/>
        </w:rPr>
        <w:t>) Permitted Liens; or (</w:t>
      </w:r>
      <w:r>
        <w:rPr>
          <w:rFonts w:ascii="Times New Roman;Times;Serif" w:hAnsi="Times New Roman;Times;Serif"/>
          <w:b w:val="false"/>
          <w:i/>
          <w:caps w:val="false"/>
          <w:smallCaps w:val="false"/>
          <w:sz w:val="20"/>
        </w:rPr>
        <w:t>3</w:t>
      </w:r>
      <w:r>
        <w:rPr>
          <w:rFonts w:ascii="Times New Roman;Times;Serif" w:hAnsi="Times New Roman;Times;Serif"/>
          <w:b w:val="false"/>
          <w:i w:val="false"/>
          <w:caps w:val="false"/>
          <w:smallCaps w:val="false"/>
          <w:sz w:val="20"/>
        </w:rPr>
        <w:t>) as contemplated by any Financing Document or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create, incur, assume or guarantee, or agree to create, incur, assume or guarantee, any Indebtedness for borrowed money, or enter into any “keep well” or other agreement to maintain the financial condition of another Person or into any arrangement having the economic effect of any of the foregoing (including entering into, as lessee, any capitalized lease obligations as defined in Statement of Financial Accounting Standards No. 13), other than any Indebtedness arising from the Financing Agreement or any other Financing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make any loans or advances to any Person (other than another Acquired Company), except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except for the execution of the Tax Equity Agreements, enter into any Contract that would constitute a Company Contract or amend, modify, grant a waiver in respect of, cancel or consent to the termination of any Company Contract other than any amendment, modification or waiver which is not material to such Company Contract and is otherwise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enter into or adversely amend, modify or waive any rights under, in each case, in any material respect, any material Contract (or series of related Contracts) with Seller or any Affiliate of Seller other than the entry into or amendment, modification, or waiver of any such Contracts on an arm’s-length basis which are not in the aggregate materially adverse to the business of Target Company or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make any material change in accounting policies or practices (including any change in depreciation or amortization policies) of any Acquired Company, except as required under GAAP or if such change would not have a material adverse effect on Purchaser, or revalue any of the Target Company’s or any Acquired Company’s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 each case, except as required by any Tax Equity Document, make or change any material Tax election, change an annual accounting period, adopt or change any accounting method with respect to Taxes, file any material amended Tax Return, or enter into any closing agreement (as described in Section 7121 of the Code), settle or compromise any proceeding with respect to any material Tax claim or assessment, surrender any right to claim a material refund of Taxes, consent to any extension or waiver of the limitation period applicable to any material Tax claim or assessment relating to the Target Company or any other Acquired Company or take any other similar action relating to the filing of any material Tax Return or the payment of any material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pay, discharge, settle or satisfy any claims, liabilities or obligations prior to the same being due in excess of $50,000 in the aggregate other than as due and payable in the ordinary course under 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hire any employees or adopt any Employee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except as contemplated pursuant to any Tax Equity Agreement, enter into any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fail to maintain insurance coverage substantially equivalent to its insurance coverage as in effect on the date 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otherwise make any commitment to do any of the foregoing in this </w:t>
      </w:r>
      <w:r>
        <w:rPr>
          <w:rFonts w:ascii="Times New Roman;Times;Serif" w:hAnsi="Times New Roman;Times;Serif"/>
          <w:b w:val="false"/>
          <w:i/>
          <w:caps w:val="false"/>
          <w:smallCaps w:val="false"/>
          <w:sz w:val="20"/>
        </w:rPr>
        <w:t>Section 5.04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Seller may permit the Acquired Companies to take commercially reasonable actions with respect to emergency situations so long as Seller shall, upon receipt of notice of any such actions, promptly inform Purchaser of any such actions taken outside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5.05.        </w:t>
      </w:r>
      <w:r>
        <w:rPr>
          <w:rFonts w:ascii="Times New Roman;Times;Serif" w:hAnsi="Times New Roman;Times;Serif"/>
          <w:b/>
          <w:i/>
          <w:caps w:val="false"/>
          <w:smallCaps w:val="false"/>
          <w:sz w:val="20"/>
        </w:rPr>
        <w:t>Fulfillment of Conditions</w:t>
      </w:r>
      <w:r>
        <w:rPr>
          <w:rFonts w:ascii="Times New Roman;Times;Serif" w:hAnsi="Times New Roman;Times;Serif"/>
          <w:b w:val="false"/>
          <w:i w:val="false"/>
          <w:caps w:val="false"/>
          <w:smallCaps w:val="false"/>
          <w:sz w:val="20"/>
        </w:rPr>
        <w:t>. Each Party shall take all commercially reasonable steps necessary or desirable, and proceed diligently and in good faith, to satisfy each condition to the obligations of the other Party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5.06.       </w:t>
      </w:r>
      <w:r>
        <w:rPr>
          <w:rFonts w:ascii="Times New Roman;Times;Serif" w:hAnsi="Times New Roman;Times;Serif"/>
          <w:b/>
          <w:i/>
          <w:caps w:val="false"/>
          <w:smallCaps w:val="false"/>
          <w:sz w:val="20"/>
        </w:rPr>
        <w:t>Further Assurances</w:t>
      </w:r>
      <w:r>
        <w:rPr>
          <w:rFonts w:ascii="Times New Roman;Times;Serif" w:hAnsi="Times New Roman;Times;Serif"/>
          <w:b w:val="false"/>
          <w:i w:val="false"/>
          <w:caps w:val="false"/>
          <w:smallCaps w:val="false"/>
          <w:sz w:val="20"/>
        </w:rPr>
        <w:t xml:space="preserve">. During the Interim Period, each Party shall use its commercially reasonable efforts to execute and deliver, or cause 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or providing any third party consents or notices and all Governmental Approvals required to be obtained by Seller. During the Interim Period, each Party shall cooperate with the other Party and provide any information regarding such Party necessary to assist the other Party in making any filings or applications or providing notices required to be made with any Governmental Authority. Notwithstanding anything to the contrary contained in this </w:t>
      </w:r>
      <w:r>
        <w:rPr>
          <w:rFonts w:ascii="Times New Roman;Times;Serif" w:hAnsi="Times New Roman;Times;Serif"/>
          <w:b w:val="false"/>
          <w:i/>
          <w:caps w:val="false"/>
          <w:smallCaps w:val="false"/>
          <w:sz w:val="20"/>
        </w:rPr>
        <w:t>Section 5.06</w:t>
      </w:r>
      <w:r>
        <w:rPr>
          <w:rFonts w:ascii="Times New Roman;Times;Serif" w:hAnsi="Times New Roman;Times;Serif"/>
          <w:b w:val="false"/>
          <w:i w:val="false"/>
          <w:caps w:val="false"/>
          <w:smallCaps w:val="false"/>
          <w:sz w:val="20"/>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Times New Roman;Times;Serif" w:hAnsi="Times New Roman;Times;Serif"/>
          <w:b w:val="false"/>
          <w:i/>
          <w:caps w:val="false"/>
          <w:smallCaps w:val="false"/>
          <w:sz w:val="20"/>
        </w:rPr>
        <w:t>Section 5.06</w:t>
      </w:r>
      <w:r>
        <w:rPr>
          <w:rFonts w:ascii="Times New Roman;Times;Serif" w:hAnsi="Times New Roman;Times;Serif"/>
          <w:b w:val="false"/>
          <w:i w:val="false"/>
          <w:caps w:val="false"/>
          <w:smallCaps w:val="false"/>
          <w:sz w:val="20"/>
        </w:rPr>
        <w:t xml:space="preserve"> shall not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5.07.       </w:t>
      </w:r>
      <w:r>
        <w:rPr>
          <w:rFonts w:ascii="Times New Roman;Times;Serif" w:hAnsi="Times New Roman;Times;Serif"/>
          <w:b/>
          <w:i/>
          <w:caps w:val="false"/>
          <w:smallCaps w:val="false"/>
          <w:sz w:val="20"/>
        </w:rPr>
        <w:t>Purchaser’s Substitute Support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Purchaser acknowledges that Seller and certain Affiliates have provided certain credit support pursuant to the support obligations and related agreements described on Part 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(collectively, the “</w:t>
      </w:r>
      <w:r>
        <w:rPr>
          <w:rFonts w:ascii="Times New Roman;Times;Serif" w:hAnsi="Times New Roman;Times;Serif"/>
          <w:b w:val="false"/>
          <w:i/>
          <w:caps w:val="false"/>
          <w:smallCaps w:val="false"/>
          <w:sz w:val="20"/>
        </w:rPr>
        <w:t>Support Obligations</w:t>
      </w:r>
      <w:r>
        <w:rPr>
          <w:rFonts w:ascii="Times New Roman;Times;Serif" w:hAnsi="Times New Roman;Times;Serif"/>
          <w:b w:val="false"/>
          <w:i w:val="false"/>
          <w:caps w:val="false"/>
          <w:smallCaps w:val="false"/>
          <w:sz w:val="20"/>
        </w:rPr>
        <w:t>”). From the Execution Date and continuing until the earlier of the termination of this Agreement or the replacement or release of each Support Obligation, Purchaser shall use commercially reasonable efforts to negotiate a replacement of each such Support Obligation (each, a “</w:t>
      </w:r>
      <w:r>
        <w:rPr>
          <w:rFonts w:ascii="Times New Roman;Times;Serif" w:hAnsi="Times New Roman;Times;Serif"/>
          <w:b w:val="false"/>
          <w:i/>
          <w:caps w:val="false"/>
          <w:smallCaps w:val="false"/>
          <w:sz w:val="20"/>
        </w:rPr>
        <w:t>Substitute Support Obligation</w:t>
      </w:r>
      <w:r>
        <w:rPr>
          <w:rFonts w:ascii="Times New Roman;Times;Serif" w:hAnsi="Times New Roman;Times;Serif"/>
          <w:b w:val="false"/>
          <w:i w:val="false"/>
          <w:caps w:val="false"/>
          <w:smallCaps w:val="false"/>
          <w:sz w:val="20"/>
        </w:rPr>
        <w:t>”) with the beneficiary thereof or to effect the complete and unconditional release of each such Support Obligation in a manner reasonably satisfactory to Purchaser, Seller and the beneficiary thereof, including by means of a letter of credit, escrow, posting a bond or cash deposit or other arrangements. The effective date of the Substitute Support Obligations shall be no earlier than the Project MC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Execution Date and continuing until the earlier of: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termination of this Agreement;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effective date of the applicable Substitute Support Obligation, if any;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the date such Support Obligation is no longer required to be maintained under the applicable Company Contract, Seller shall, and shall cause its Affiliates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maintain each Support Obligation in full force and effect in accordance with the requirements under the applicable Company Contract;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perform all of its obligations under each Support Obligation;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not amend, modify, grant a waiver in respect of, cancel or consent to the termination of any Support Obligation;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solely to the extent that a Support Obligation cannot be released, terminated or replaced by Purchaser at or prior to the Project MC Funding Date, or is set forth on Part II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(each, a “</w:t>
      </w:r>
      <w:r>
        <w:rPr>
          <w:rFonts w:ascii="Times New Roman;Times;Serif" w:hAnsi="Times New Roman;Times;Serif"/>
          <w:b w:val="false"/>
          <w:i/>
          <w:caps w:val="false"/>
          <w:smallCaps w:val="false"/>
          <w:sz w:val="20"/>
        </w:rPr>
        <w:t>Retained Support Obligation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caps w:val="false"/>
          <w:smallCaps w:val="false"/>
          <w:sz w:val="20"/>
        </w:rPr>
        <w:t>Section 5.07(c)</w:t>
      </w:r>
      <w:r>
        <w:rPr>
          <w:rFonts w:ascii="Times New Roman;Times;Serif" w:hAnsi="Times New Roman;Times;Serif"/>
          <w:b w:val="false"/>
          <w:i w:val="false"/>
          <w:caps w:val="false"/>
          <w:smallCaps w:val="false"/>
          <w:sz w:val="20"/>
        </w:rPr>
        <w:t> below, Seller shall, and shall cause its Affiliates to, perform its obligations with respect to each such Support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there is a Retained Support Obligation, Purchaser shall: (i)</w:t>
        <w:tab/>
        <w: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indemnify and hold harmless Seller and its Affiliates (as applicable) from and against any and all Losses that may be suffered, incurred or sustained by any of them or to which any of them become subject, resulting from a claim on any such Retained Support Obligation after the Closing Date and arising out of or relating to the business, operations, properties, assets or obligations of any Acquired Company conducted, existing or arising after the Closing Date (including as a result of any draw or demand for or making of any payment by Seller or any such Affiliate of Seller under any Retained Support Obligation);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diligently continue to seek the release, termination and replacement of such Retained Support Obligation as required pursuant to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reimburse Seller or its Affiliates (as applicable) for the actual out-of-pocket costs of, and fees paid by, Seller or its Affiliates in maintaining such Retained Support Obligation accruing at any time after the Closing Date until such time as such Retained Support Obligation is replaced;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Purchaser’s indemnification obligations under clause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shall not affect Seller’s indemnification obligations under </w:t>
      </w:r>
      <w:r>
        <w:rPr>
          <w:rFonts w:ascii="Times New Roman;Times;Serif" w:hAnsi="Times New Roman;Times;Serif"/>
          <w:b w:val="false"/>
          <w:i/>
          <w:caps w:val="false"/>
          <w:smallCaps w:val="false"/>
          <w:sz w:val="20"/>
        </w:rPr>
        <w:t>Section 5.07(d)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with respect to any Support Obligation identified on Part I.B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xml:space="preserve"> of the Disclosure Schedules, Purchaser’s obligations under this </w:t>
      </w:r>
      <w:r>
        <w:rPr>
          <w:rFonts w:ascii="Times New Roman;Times;Serif" w:hAnsi="Times New Roman;Times;Serif"/>
          <w:b w:val="false"/>
          <w:i/>
          <w:caps w:val="false"/>
          <w:smallCaps w:val="false"/>
          <w:sz w:val="20"/>
        </w:rPr>
        <w:t>Section 5.07(c)</w:t>
      </w:r>
      <w:r>
        <w:rPr>
          <w:rFonts w:ascii="Times New Roman;Times;Serif" w:hAnsi="Times New Roman;Times;Serif"/>
          <w:b w:val="false"/>
          <w:i w:val="false"/>
          <w:caps w:val="false"/>
          <w:smallCaps w:val="false"/>
          <w:sz w:val="20"/>
        </w:rPr>
        <w:t> shall be limited to the Class A Percentage Interest of such Losses and actual out-of-pocket costs and fees,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Following the replacement of a Support Obligation by Purchaser for the Project pursuant to a Substitute Support Obligation, Seller shall indemnify and hold harmless Purchaser and its Affiliates (as applicable) from and against any and all Losses that may be suffered, incurred or sustained by any of them or to which any of them become subject, resulting from a claim on any such Substitute Support Obligation and arising out of or relating to the business, operations, properties, assets or obligations of any Acquired Company conducted, existing or arising at or prior to the Closing Date (including as a result of any draw or demand for or making of any payment by Purchaser or any such Affiliate of Purchaser under any Substitute Support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5.08.       </w:t>
      </w:r>
      <w:r>
        <w:rPr>
          <w:rFonts w:ascii="Times New Roman;Times;Serif" w:hAnsi="Times New Roman;Times;Serif"/>
          <w:b/>
          <w:i/>
          <w:caps w:val="false"/>
          <w:smallCaps w:val="false"/>
          <w:sz w:val="20"/>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Transfer Taxes, if any, arising out of or in connection with the consummation of the transactions contemplated by this Agreement shall be shared equally by Purchaser and Seller. The Party required by Law to file a Tax Return related to Transfer Taxes in connection with any transaction or action contemplated by this Agreement will do so within the time period required by Law and inform the other Party of its share and provide a copy of the return, but will first use commercially reasonable efforts to provide such Tax Returns to the other Party at least ten (10) Business Days prior to the date such Tax Returns are due to be filed and the Parties will work in good faith to resolve any disagreement with respect to such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real property Taxes, personal property Taxes and similar obligations of any Acquired Company imposed by any Governmental Authority that are due or become due for Tax periods within which the Closing Date occurs shall be apportioned between Seller for the pre-Closing Date period (which shall include the Closing Date), on the one hand, and the applicable Acquired Company for the post-Closing Date period, on the other hand, as of the Closing Date, based upon the actual number of days of the Tax period that have elapsed before and after the Closing Date, and any income Taxes imposed on any Acquired Company shall be allocated between the pre-Closing Date period and the post-Closing Date period as though a taxable year of the applicable Acquired Company has ended on (and includes) the Closing Date (collectively, the “</w:t>
      </w:r>
      <w:r>
        <w:rPr>
          <w:rFonts w:ascii="Times New Roman;Times;Serif" w:hAnsi="Times New Roman;Times;Serif"/>
          <w:b w:val="false"/>
          <w:i/>
          <w:caps w:val="false"/>
          <w:smallCaps w:val="false"/>
          <w:sz w:val="20"/>
        </w:rPr>
        <w:t>Apportioned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shall be responsible for the portion of such Apportioned Obligations attributable to the period ending on (and including) the Closing Date. The Target Company (or the applicable Acquired Companies) shall be responsible for the portion of such Apportioned Obligations attributable to the period beginning after the Closing Date. Each Party shall cooperate in assuring that Apportioned Obligations that are the responsibility of Seller pursuant to the preceding sentences are paid by Seller, and that Apportioned Obligations that are the responsibility of any Acquired Company pursuant to the preceding sentence shall be paid by such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any refund, rebate or similar payment is received by any Acquired Company for any real property Taxes, personal property Taxes or similar obligations referred to above that are Apportioned Obligations, such refund shall be apportioned between Seller and the applicable Acquired Company as aforesaid on the basis of the obligations of the Acquired Companies during the applicable Tax period. Any refund, rebate or similar payment received by any Acquired Company for any income Tax or Transfer Tax (other than Transfer Taxes governed under </w:t>
      </w:r>
      <w:r>
        <w:rPr>
          <w:rFonts w:ascii="Times New Roman;Times;Serif" w:hAnsi="Times New Roman;Times;Serif"/>
          <w:b w:val="false"/>
          <w:i/>
          <w:caps w:val="false"/>
          <w:smallCaps w:val="false"/>
          <w:sz w:val="20"/>
        </w:rPr>
        <w:t>Section 5.08(a)</w:t>
      </w:r>
      <w:r>
        <w:rPr>
          <w:rFonts w:ascii="Times New Roman;Times;Serif" w:hAnsi="Times New Roman;Times;Serif"/>
          <w:b w:val="false"/>
          <w:i w:val="false"/>
          <w:caps w:val="false"/>
          <w:smallCaps w:val="false"/>
          <w:sz w:val="20"/>
        </w:rPr>
        <w:t>) attributable to the pre-Closing Date period, as determined above, shall be for the benefit of Seller; and any such refund, rebate or similar payment attributable to the post-Closing Date period, as determined above, shall be for the benefit of the applicable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any Taxes with respect to which the taxable period (or portion thereof) of the applicable Acquired Company ends on or before the Closing Date, Seller shall, at its sole cost and expense, timely prepare and file with the appropriate authorities all Tax Returns required to be filed by the applicable Acquired Company, and pay or cause to be paid all Taxes shown to be due thereon. After the Closing Date, each Acquired Company shall, at its sole cost and expense, timely prepare and file, or cause to be timely prepared and filed, with the appropriate authorities all other Tax Returns required to be filed by such Acquired Company, and pay all Taxes shown to be due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Seller and Purchaser shall reasonably cooperate, and shall cause their respective Affiliates, employees and agents reasonably to cooperate, in preparing and filing all Tax Returns of each Acquired Company, including maintaining and making available to each other all records that are necessary for the preparation of any Tax Returns that the Party is required to file under this </w:t>
      </w:r>
      <w:r>
        <w:rPr>
          <w:rFonts w:ascii="Times New Roman;Times;Serif" w:hAnsi="Times New Roman;Times;Serif"/>
          <w:b w:val="false"/>
          <w:i/>
          <w:caps w:val="false"/>
          <w:smallCaps w:val="false"/>
          <w:sz w:val="20"/>
        </w:rPr>
        <w:t>Section 5.08</w:t>
      </w:r>
      <w:r>
        <w:rPr>
          <w:rFonts w:ascii="Times New Roman;Times;Serif" w:hAnsi="Times New Roman;Times;Serif"/>
          <w:b w:val="false"/>
          <w:i w:val="false"/>
          <w:caps w:val="false"/>
          <w:smallCaps w:val="false"/>
          <w:sz w:val="20"/>
        </w:rPr>
        <w:t>, and in resolving all Actions or Proceedings, and audits or examinations with respect to such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the foregoing, the provisions of this </w:t>
      </w:r>
      <w:r>
        <w:rPr>
          <w:rFonts w:ascii="Times New Roman;Times;Serif" w:hAnsi="Times New Roman;Times;Serif"/>
          <w:b w:val="false"/>
          <w:i/>
          <w:caps w:val="false"/>
          <w:smallCaps w:val="false"/>
          <w:sz w:val="20"/>
        </w:rPr>
        <w:t>Section 5.08</w:t>
      </w:r>
      <w:r>
        <w:rPr>
          <w:rFonts w:ascii="Times New Roman;Times;Serif" w:hAnsi="Times New Roman;Times;Serif"/>
          <w:b w:val="false"/>
          <w:i w:val="false"/>
          <w:caps w:val="false"/>
          <w:smallCaps w:val="false"/>
          <w:sz w:val="20"/>
        </w:rPr>
        <w:t xml:space="preserve"> shall be subject to, and the Seller’s rights pursuant to this </w:t>
      </w:r>
      <w:r>
        <w:rPr>
          <w:rFonts w:ascii="Times New Roman;Times;Serif" w:hAnsi="Times New Roman;Times;Serif"/>
          <w:b w:val="false"/>
          <w:i/>
          <w:caps w:val="false"/>
          <w:smallCaps w:val="false"/>
          <w:sz w:val="20"/>
        </w:rPr>
        <w:t>Section 5.08</w:t>
      </w:r>
      <w:r>
        <w:rPr>
          <w:rFonts w:ascii="Times New Roman;Times;Serif" w:hAnsi="Times New Roman;Times;Serif"/>
          <w:b w:val="false"/>
          <w:i w:val="false"/>
          <w:caps w:val="false"/>
          <w:smallCaps w:val="false"/>
          <w:sz w:val="20"/>
        </w:rPr>
        <w:t xml:space="preserve"> shall be limited to the extent inconsistent with, the terms of the Tax Equity Documents and the rights of the parties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5.09.       </w:t>
      </w:r>
      <w:r>
        <w:rPr>
          <w:rFonts w:ascii="Times New Roman;Times;Serif" w:hAnsi="Times New Roman;Times;Serif"/>
          <w:b/>
          <w:i/>
          <w:caps w:val="false"/>
          <w:smallCaps w:val="false"/>
          <w:sz w:val="20"/>
        </w:rPr>
        <w:t>No Solicitation</w:t>
      </w:r>
      <w:r>
        <w:rPr>
          <w:rFonts w:ascii="Times New Roman;Times;Serif" w:hAnsi="Times New Roman;Times;Serif"/>
          <w:b w:val="false"/>
          <w:i w:val="false"/>
          <w:caps w:val="false"/>
          <w:smallCaps w:val="false"/>
          <w:sz w:val="20"/>
        </w:rPr>
        <w:t>. Until the Closing or, if earlier, termination of this Agreement, Seller shall not, and shall not authorize or permit the Acquired Companies, any of their Affiliates or any of their Representatives to, directly or indirectly: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encourage, solicit, initiate, facilitate or continue inquiries regarding an Acquisition Proposal;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enter into discussions or negotiations with, or provide any information to, any Person concerning a possible Acquisition Proposal;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enter into any agreements or other instruments (whether or not binding) regarding an Acquisition Proposal. Seller shall immediately cease and cause to be terminated, and shall cause the Acquired Companies, any of their Affiliates and all of their Representatives to immediately cease and cause to be terminated, all existing discussions or negotiations with any Persons conducted heretofore with respect to, or that could lead to, an Acquisition Proposal. For purposes hereof, “</w:t>
      </w:r>
      <w:r>
        <w:rPr>
          <w:rFonts w:ascii="Times New Roman;Times;Serif" w:hAnsi="Times New Roman;Times;Serif"/>
          <w:b w:val="false"/>
          <w:i/>
          <w:caps w:val="false"/>
          <w:smallCaps w:val="false"/>
          <w:sz w:val="20"/>
        </w:rPr>
        <w:t>Acquisition Proposal</w:t>
      </w:r>
      <w:r>
        <w:rPr>
          <w:rFonts w:ascii="Times New Roman;Times;Serif" w:hAnsi="Times New Roman;Times;Serif"/>
          <w:b w:val="false"/>
          <w:i w:val="false"/>
          <w:caps w:val="false"/>
          <w:smallCaps w:val="false"/>
          <w:sz w:val="20"/>
        </w:rPr>
        <w:t>” shall mean (other than with respect to the transactions contemplated by any Financing Document and the TE HoldCo MIPA) any inquiry, proposal or offer from any Person concerning: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 merger, consolidation, liquidation, recapitalization, share exchange or other business combination transaction involving the Acquired Companies;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issuance or acquisition of equity securities of the Acquired Companies;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the sale, lease, exchange or other disposition of any significant portion of the Acquired Companies’ properties or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5.10.       </w:t>
      </w:r>
      <w:r>
        <w:rPr>
          <w:rFonts w:ascii="Times New Roman;Times;Serif" w:hAnsi="Times New Roman;Times;Serif"/>
          <w:b/>
          <w:i/>
          <w:caps w:val="false"/>
          <w:smallCaps w:val="false"/>
          <w:sz w:val="20"/>
        </w:rPr>
        <w:t>Purchaser Parent Guaranty</w:t>
      </w:r>
      <w:r>
        <w:rPr>
          <w:rFonts w:ascii="Times New Roman;Times;Serif" w:hAnsi="Times New Roman;Times;Serif"/>
          <w:b w:val="false"/>
          <w:i w:val="false"/>
          <w:caps w:val="false"/>
          <w:smallCaps w:val="false"/>
          <w:sz w:val="20"/>
        </w:rPr>
        <w:t>. Purchaser shall, concurrently with the execution and delivery of this Agreement, cause to be executed and delivered to Seller the Purchaser Parent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5.11.       </w:t>
      </w:r>
      <w:r>
        <w:rPr>
          <w:rFonts w:ascii="Times New Roman;Times;Serif" w:hAnsi="Times New Roman;Times;Serif"/>
          <w:b/>
          <w:i/>
          <w:caps w:val="false"/>
          <w:smallCaps w:val="false"/>
          <w:sz w:val="20"/>
        </w:rPr>
        <w:t>Seller Parent Guaranty</w:t>
      </w:r>
      <w:r>
        <w:rPr>
          <w:rFonts w:ascii="Times New Roman;Times;Serif" w:hAnsi="Times New Roman;Times;Serif"/>
          <w:b w:val="false"/>
          <w:i w:val="false"/>
          <w:caps w:val="false"/>
          <w:smallCaps w:val="false"/>
          <w:sz w:val="20"/>
        </w:rPr>
        <w:t>. Seller shall, concurrently with the execution and delivery of this Agreement, cause to be executed and delivered to Purchaser the Seller Parent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5.12.       </w:t>
      </w:r>
      <w:r>
        <w:rPr>
          <w:rFonts w:ascii="Times New Roman;Times;Serif" w:hAnsi="Times New Roman;Times;Serif"/>
          <w:b/>
          <w:i/>
          <w:caps w:val="false"/>
          <w:smallCaps w:val="false"/>
          <w:sz w:val="20"/>
        </w:rPr>
        <w:t>Tax Equity Agreements; Tax Credit Monetization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practicable following the Execution Date, Seller shall enter into (or shall cause the Target Company or the applicable Acquired Company to enter into) the Tax Equity ECCA, the TE HoldCo MIPA, any Tax Credit Transfer Agreement and the other Tax Equity Documents to be entered into upon the execution of the Tax Equity Agreements (the execution of the foregoing, the “</w:t>
      </w:r>
      <w:r>
        <w:rPr>
          <w:rFonts w:ascii="Times New Roman;Times;Serif" w:hAnsi="Times New Roman;Times;Serif"/>
          <w:b w:val="false"/>
          <w:i/>
          <w:caps w:val="false"/>
          <w:smallCaps w:val="false"/>
          <w:sz w:val="20"/>
        </w:rPr>
        <w:t>Tax Equity Signing</w:t>
      </w:r>
      <w:r>
        <w:rPr>
          <w:rFonts w:ascii="Times New Roman;Times;Serif" w:hAnsi="Times New Roman;Times;Serif"/>
          <w:b w:val="false"/>
          <w:i w:val="false"/>
          <w:caps w:val="false"/>
          <w:smallCaps w:val="false"/>
          <w:sz w:val="20"/>
        </w:rPr>
        <w:t>”). The form and substance of the Tax Equity ECCA, the TE HoldCo MIPA and any Tax Credit Transfer Agreement, along with each schedule, exhibit or annex thereto (including each other Tax Equity Agreement) and the initial Tax Equity Model, in each case, shall be subject to the prior written consent of Purchaser (which consent shall not be unreasonably withheld or delayed, except that such consent may be withheld in Purchaser’s sole discretion with respect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Purchaser Tax Equity Guaranty,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Purchaser Tax Credit Transfer Guaranty,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the Base Case Model and Tax Equity Model, and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the terms and conditions of a “flip” or the allocation or re-allocation of risks and benefits resulting from a Tax Credit Transfer Transaction, and the other commercial terms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Following the Tax Equity Signing, Seller shall promptly provide to Purchaser true, complete and correct copies of each such Contract or document, including any schedule, exhibit or annex thereto, and, with respect to the Tax Equity ECCA, the following documents delivered pursuant to the Tax Equity ECCA (and any documents delivered pursuant to the Tax Credit Transfer Agreement):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Tax Equity Model;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Reports;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the Title Policy. During the period from the Tax Equity Signing until the date that is fifteen (15) Business Days thereafter, if either Party reasonably determines that any term or provision of this Agreement that makes reference to a Tax Equity Document requires amendment or modification in light of the final, executed version of such Tax Equity Document, such Party shall promptly notify the other Party of the foregoing, and each Party shall, acting reasonably and in good faith, work together with the other Party to prepare and negotiate appropriate amendments hereto (with the understanding that any such amendment shall seek to maintain the allocation of risks and benefits, and preserve the other commercial terms, in this Agreement) to be entered into by the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any such amendment shall be subject to the mutual agreement of the Parties pursuant to </w:t>
      </w:r>
      <w:r>
        <w:rPr>
          <w:rFonts w:ascii="Times New Roman;Times;Serif" w:hAnsi="Times New Roman;Times;Serif"/>
          <w:b w:val="false"/>
          <w:i/>
          <w:caps w:val="false"/>
          <w:smallCaps w:val="false"/>
          <w:sz w:val="20"/>
        </w:rPr>
        <w:t>Section 8.08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5.13.       </w:t>
      </w:r>
      <w:r>
        <w:rPr>
          <w:rFonts w:ascii="Times New Roman;Times;Serif" w:hAnsi="Times New Roman;Times;Serif"/>
          <w:b/>
          <w:i/>
          <w:caps w:val="false"/>
          <w:smallCaps w:val="false"/>
          <w:sz w:val="20"/>
        </w:rPr>
        <w:t>Duties of Initial Manager</w:t>
      </w:r>
      <w:r>
        <w:rPr>
          <w:rFonts w:ascii="Times New Roman;Times;Serif" w:hAnsi="Times New Roman;Times;Serif"/>
          <w:b w:val="false"/>
          <w:i w:val="false"/>
          <w:caps w:val="false"/>
          <w:smallCaps w:val="false"/>
          <w:sz w:val="20"/>
        </w:rPr>
        <w:t>. Seller hereby acknowledges and agrees, for itself and on behalf of its Affiliates, that the duties required to be performed by the “Manager” (as defined in the A&amp;R LLCA) under the A&amp;R LLCA constitute a portion of the “Services” (as defined pursuant to that certain Second Amended and Restated Master Services Agreement, dated as of April 30, 2024, by and among Clearway Energy, Inc., Clearway Energy LLC, Purchaser Parent and CEG (the “</w:t>
      </w:r>
      <w:r>
        <w:rPr>
          <w:rFonts w:ascii="Times New Roman;Times;Serif" w:hAnsi="Times New Roman;Times;Serif"/>
          <w:b w:val="false"/>
          <w:i/>
          <w:caps w:val="false"/>
          <w:smallCaps w:val="false"/>
          <w:sz w:val="20"/>
        </w:rPr>
        <w:t>Master Services Agreement</w:t>
      </w:r>
      <w:r>
        <w:rPr>
          <w:rFonts w:ascii="Times New Roman;Times;Serif" w:hAnsi="Times New Roman;Times;Serif"/>
          <w:b w:val="false"/>
          <w:i w:val="false"/>
          <w:caps w:val="false"/>
          <w:smallCaps w:val="false"/>
          <w:sz w:val="20"/>
        </w:rPr>
        <w:t>”)), and shall be performed by CEG or an Affiliate thereof at no additional cost to Purchaser for so long as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Master Services Agreement shall remain in full force and effect;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Purchaser shall act as the “Manager” under the A&amp;R LLCA;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CEG shall remain an indirect owner of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5.14.       </w:t>
      </w:r>
      <w:r>
        <w:rPr>
          <w:rFonts w:ascii="Times New Roman;Times;Serif" w:hAnsi="Times New Roman;Times;Serif"/>
          <w:b/>
          <w:i/>
          <w:caps w:val="false"/>
          <w:smallCaps w:val="false"/>
          <w:sz w:val="20"/>
        </w:rPr>
        <w:t>Battery Energy Storage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Purchaser hereby acknowledges and agrees that Seller or its Affiliates may elect to develop, construct, own and operate a battery energy storage system on, adjacent to or otherwise associated with the Project (the “</w:t>
      </w:r>
      <w:r>
        <w:rPr>
          <w:rFonts w:ascii="Times New Roman;Times;Serif" w:hAnsi="Times New Roman;Times;Serif"/>
          <w:b w:val="false"/>
          <w:i/>
          <w:caps w:val="false"/>
          <w:smallCaps w:val="false"/>
          <w:sz w:val="20"/>
        </w:rPr>
        <w:t>BESS Project</w:t>
      </w:r>
      <w:r>
        <w:rPr>
          <w:rFonts w:ascii="Times New Roman;Times;Serif" w:hAnsi="Times New Roman;Times;Serif"/>
          <w:b w:val="false"/>
          <w:i w:val="false"/>
          <w:caps w:val="false"/>
          <w:smallCaps w:val="false"/>
          <w:sz w:val="20"/>
        </w:rPr>
        <w:t>”). Purchaser hereby consents to, and agrees to cause the Acquired Companies to cooperate in good faith with, the development, construction and operation of the BESS Project, including by granting or causing to be granted any consents or other approvals reasonably required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shall, and shall cause its Affiliates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cooperate in good faith with Purchaser to facilitate the potential acquisition by Purchaser or its Affiliates of any BESS Project successfully developed in connection with the Project, including by providing Purchaser with a right of first offer with respect to any proposed sale, transfer or other disposition of such BESS Project,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ensure that the development, construction, ownership and operation of any BESS Project shall not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negatively impact or interfere with the development, construction, operation or maintenance of the Project,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result in any violation of or default under any Company Contract, Financing Document or Tax Equity Agreement, (iii) create or suffer to exist any Lien on any asset of any Acquired Company (other than Permitted Liens), or (iv) impose any cost or liability on any Acquired Company, in each case, without the prior written consent of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6.01.       </w:t>
      </w:r>
      <w:r>
        <w:rPr>
          <w:rFonts w:ascii="Times New Roman;Times;Serif" w:hAnsi="Times New Roman;Times;Serif"/>
          <w:b/>
          <w:i/>
          <w:caps w:val="false"/>
          <w:smallCaps w:val="false"/>
          <w:sz w:val="20"/>
        </w:rPr>
        <w:t>Indemnification by Seller</w:t>
      </w:r>
      <w:r>
        <w:rPr>
          <w:rFonts w:ascii="Times New Roman;Times;Serif" w:hAnsi="Times New Roman;Times;Serif"/>
          <w:b w:val="false"/>
          <w:i w:val="false"/>
          <w:caps w:val="false"/>
          <w:smallCaps w:val="false"/>
          <w:sz w:val="20"/>
        </w:rPr>
        <w:t>. Seller hereby indemnifies and holds harmless the Purchaser Indemnified Parties in respect of, and holds each of them harmless from and against, any and all Losses suffered, incurred or sustained by any of them or to which any of them become subject, resulting from, arising out of or related to (a)</w:t>
        <w:tab/>
        <w: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breach of any representation, warranty, covenant, agreement or obligation made by Seller in this Agreement or any certificate delivered by Seller pursuant to this Agreement (with any breach and the calculation of any Losses therefrom determined without regard to any Material Adverse Effect or other materiality qualifier); (b)</w:t>
        <w:tab/>
        <w: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the matters referenced on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with respect to any Losses for which Purchaser or its Affiliate is or becomes indemnified by a third party with respect to any matters referenced on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Seller shall have no obligation to indemnify Purchaser with respect to such Losses);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except to the extent included in the calculation of the Purchase Price, any Transaction Expense of any Acquired Company as of the Closing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indemnity shall not apply to Losses to the extent caused by the gross negligence or willful misconduct of Purchaser Indemnified Parties or their agents, officers, employees or contractors. If a Purchaser Indemnified Party has recovered any Losses pursuant to one subsection of this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 xml:space="preserve">, such Purchaser Indemnified Party shall not be entitled to recover the same Losses under another subsection of this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 xml:space="preserve"> or any other contract or agreement related to the Project between Purchaser or any of its Affiliates, on the one hand, and Seller or any of its Affiliates,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6.02.        </w:t>
      </w:r>
      <w:r>
        <w:rPr>
          <w:rFonts w:ascii="Times New Roman;Times;Serif" w:hAnsi="Times New Roman;Times;Serif"/>
          <w:b/>
          <w:i/>
          <w:caps w:val="false"/>
          <w:smallCaps w:val="false"/>
          <w:sz w:val="20"/>
        </w:rPr>
        <w:t>Indemnification by Purchaser</w:t>
      </w:r>
      <w:r>
        <w:rPr>
          <w:rFonts w:ascii="Times New Roman;Times;Serif" w:hAnsi="Times New Roman;Times;Serif"/>
          <w:b w:val="false"/>
          <w:i w:val="false"/>
          <w:caps w:val="false"/>
          <w:smallCaps w:val="false"/>
          <w:sz w:val="20"/>
        </w:rPr>
        <w:t xml:space="preserve">. Purchaser hereby indemnifies and holds harmless the Seller Indemnified Parties in respect of, and holds 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indemnity shall not apply to Losses to the extent caused by the gross negligence or willful misconduct of Seller Indemnified Parties or their agents, officers, employees or contractors. If a Seller Indemnified Party has recovered any Losses pursuant to one subsection of this </w:t>
      </w:r>
      <w:r>
        <w:rPr>
          <w:rFonts w:ascii="Times New Roman;Times;Serif" w:hAnsi="Times New Roman;Times;Serif"/>
          <w:b w:val="false"/>
          <w:i/>
          <w:caps w:val="false"/>
          <w:smallCaps w:val="false"/>
          <w:sz w:val="20"/>
        </w:rPr>
        <w:t>Section 6.02</w:t>
      </w:r>
      <w:r>
        <w:rPr>
          <w:rFonts w:ascii="Times New Roman;Times;Serif" w:hAnsi="Times New Roman;Times;Serif"/>
          <w:b w:val="false"/>
          <w:i w:val="false"/>
          <w:caps w:val="false"/>
          <w:smallCaps w:val="false"/>
          <w:sz w:val="20"/>
        </w:rPr>
        <w:t xml:space="preserve">, such Seller Indemnified Party shall not be entitled to recover the same Losses under another subsection of this </w:t>
      </w:r>
      <w:r>
        <w:rPr>
          <w:rFonts w:ascii="Times New Roman;Times;Serif" w:hAnsi="Times New Roman;Times;Serif"/>
          <w:b w:val="false"/>
          <w:i/>
          <w:caps w:val="false"/>
          <w:smallCaps w:val="false"/>
          <w:sz w:val="20"/>
        </w:rPr>
        <w:t>Section 6.02</w:t>
      </w:r>
      <w:r>
        <w:rPr>
          <w:rFonts w:ascii="Times New Roman;Times;Serif" w:hAnsi="Times New Roman;Times;Serif"/>
          <w:b w:val="false"/>
          <w:i w:val="false"/>
          <w:caps w:val="false"/>
          <w:smallCaps w:val="false"/>
          <w:sz w:val="20"/>
        </w:rPr>
        <w:t xml:space="preserve"> or any other contract or agreement related to the Project between Seller or any of its Affiliates, on the one hand, and Purchaser or any of its Affiliates,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6.03.       </w:t>
      </w:r>
      <w:r>
        <w:rPr>
          <w:rFonts w:ascii="Times New Roman;Times;Serif" w:hAnsi="Times New Roman;Times;Serif"/>
          <w:b/>
          <w:i/>
          <w:caps w:val="false"/>
          <w:smallCaps w:val="false"/>
          <w:sz w:val="20"/>
        </w:rPr>
        <w:t>Survival of Representations, Warranties, Covenants and Agreements</w:t>
      </w:r>
      <w:r>
        <w:rPr>
          <w:rFonts w:ascii="Times New Roman;Times;Serif" w:hAnsi="Times New Roman;Times;Serif"/>
          <w:b w:val="false"/>
          <w:i w:val="false"/>
          <w:caps w:val="false"/>
          <w:smallCaps w:val="false"/>
          <w:sz w:val="20"/>
        </w:rPr>
        <w:t xml:space="preserve">. The representations, warranties, covenants, agreements and obligations of Seller and Purchaser contained in this Agreement are material, were relied on by such Parties, and will survive the Closing Date as provided in this </w:t>
      </w:r>
      <w:r>
        <w:rPr>
          <w:rFonts w:ascii="Times New Roman;Times;Serif" w:hAnsi="Times New Roman;Times;Serif"/>
          <w:b w:val="false"/>
          <w:i/>
          <w:caps w:val="false"/>
          <w:smallCaps w:val="false"/>
          <w:sz w:val="20"/>
        </w:rPr>
        <w:t>Section 6.03</w:t>
      </w:r>
      <w:r>
        <w:rPr>
          <w:rFonts w:ascii="Times New Roman;Times;Serif" w:hAnsi="Times New Roman;Times;Serif"/>
          <w:b w:val="false"/>
          <w:i w:val="false"/>
          <w:caps w:val="false"/>
          <w:smallCaps w:val="false"/>
          <w:sz w:val="20"/>
        </w:rPr>
        <w:t xml:space="preserve">. Subject to the limitations and other provisions of this Agreement, the representations and warranties contained herein shall survive the Closing for twelve (12) months after the Closing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the representations and warranties contained in </w:t>
      </w:r>
      <w:r>
        <w:rPr>
          <w:rFonts w:ascii="Times New Roman;Times;Serif" w:hAnsi="Times New Roman;Times;Serif"/>
          <w:b w:val="false"/>
          <w:i/>
          <w:caps w:val="false"/>
          <w:smallCaps w:val="false"/>
          <w:sz w:val="20"/>
        </w:rPr>
        <w:t>Section 3.01(a)</w:t>
      </w:r>
      <w:r>
        <w:rPr>
          <w:rFonts w:ascii="Times New Roman;Times;Serif" w:hAnsi="Times New Roman;Times;Serif"/>
          <w:b w:val="false"/>
          <w:i w:val="false"/>
          <w:caps w:val="false"/>
          <w:smallCaps w:val="false"/>
          <w:sz w:val="20"/>
        </w:rPr>
        <w:t xml:space="preserve"> (Existence), </w:t>
      </w:r>
      <w:r>
        <w:rPr>
          <w:rFonts w:ascii="Times New Roman;Times;Serif" w:hAnsi="Times New Roman;Times;Serif"/>
          <w:b w:val="false"/>
          <w:i/>
          <w:caps w:val="false"/>
          <w:smallCaps w:val="false"/>
          <w:sz w:val="20"/>
        </w:rPr>
        <w:t>Section 3.01(b) </w:t>
      </w:r>
      <w:r>
        <w:rPr>
          <w:rFonts w:ascii="Times New Roman;Times;Serif" w:hAnsi="Times New Roman;Times;Serif"/>
          <w:b w:val="false"/>
          <w:i w:val="false"/>
          <w:caps w:val="false"/>
          <w:smallCaps w:val="false"/>
          <w:sz w:val="20"/>
        </w:rPr>
        <w:t xml:space="preserve">(Authority), </w:t>
      </w:r>
      <w:r>
        <w:rPr>
          <w:rFonts w:ascii="Times New Roman;Times;Serif" w:hAnsi="Times New Roman;Times;Serif"/>
          <w:b w:val="false"/>
          <w:i/>
          <w:caps w:val="false"/>
          <w:smallCaps w:val="false"/>
          <w:sz w:val="20"/>
        </w:rPr>
        <w:t>Section 3.01(g)</w:t>
      </w:r>
      <w:r>
        <w:rPr>
          <w:rFonts w:ascii="Times New Roman;Times;Serif" w:hAnsi="Times New Roman;Times;Serif"/>
          <w:b w:val="false"/>
          <w:i w:val="false"/>
          <w:caps w:val="false"/>
          <w:smallCaps w:val="false"/>
          <w:sz w:val="20"/>
        </w:rPr>
        <w:t xml:space="preserve"> (Brokers), </w:t>
      </w:r>
      <w:r>
        <w:rPr>
          <w:rFonts w:ascii="Times New Roman;Times;Serif" w:hAnsi="Times New Roman;Times;Serif"/>
          <w:b w:val="false"/>
          <w:i/>
          <w:caps w:val="false"/>
          <w:smallCaps w:val="false"/>
          <w:sz w:val="20"/>
        </w:rPr>
        <w:t>Section 3.01(i)(i)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Section 3.01(i)(ii)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Section 3.01(i)(v)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Section 3.01(i)(ix)</w:t>
      </w:r>
      <w:r>
        <w:rPr>
          <w:rFonts w:ascii="Times New Roman;Times;Serif" w:hAnsi="Times New Roman;Times;Serif"/>
          <w:b w:val="false"/>
          <w:i w:val="false"/>
          <w:caps w:val="false"/>
          <w:smallCaps w:val="false"/>
          <w:sz w:val="20"/>
        </w:rPr>
        <w:t xml:space="preserve"> (Company and the Acquired Companies), </w:t>
      </w:r>
      <w:r>
        <w:rPr>
          <w:rFonts w:ascii="Times New Roman;Times;Serif" w:hAnsi="Times New Roman;Times;Serif"/>
          <w:b w:val="false"/>
          <w:i/>
          <w:caps w:val="false"/>
          <w:smallCaps w:val="false"/>
          <w:sz w:val="20"/>
        </w:rPr>
        <w:t>Section 3.02(a)</w:t>
      </w:r>
      <w:r>
        <w:rPr>
          <w:rFonts w:ascii="Times New Roman;Times;Serif" w:hAnsi="Times New Roman;Times;Serif"/>
          <w:b w:val="false"/>
          <w:i w:val="false"/>
          <w:caps w:val="false"/>
          <w:smallCaps w:val="false"/>
          <w:sz w:val="20"/>
        </w:rPr>
        <w:t xml:space="preserve"> (Existence), </w:t>
      </w:r>
      <w:r>
        <w:rPr>
          <w:rFonts w:ascii="Times New Roman;Times;Serif" w:hAnsi="Times New Roman;Times;Serif"/>
          <w:b w:val="false"/>
          <w:i/>
          <w:caps w:val="false"/>
          <w:smallCaps w:val="false"/>
          <w:sz w:val="20"/>
        </w:rPr>
        <w:t>Section 3.02(b)</w:t>
      </w:r>
      <w:r>
        <w:rPr>
          <w:rFonts w:ascii="Times New Roman;Times;Serif" w:hAnsi="Times New Roman;Times;Serif"/>
          <w:b w:val="false"/>
          <w:i w:val="false"/>
          <w:caps w:val="false"/>
          <w:smallCaps w:val="false"/>
          <w:sz w:val="20"/>
        </w:rPr>
        <w:t xml:space="preserve"> (Authority) and </w:t>
      </w:r>
      <w:r>
        <w:rPr>
          <w:rFonts w:ascii="Times New Roman;Times;Serif" w:hAnsi="Times New Roman;Times;Serif"/>
          <w:b w:val="false"/>
          <w:i/>
          <w:caps w:val="false"/>
          <w:smallCaps w:val="false"/>
          <w:sz w:val="20"/>
        </w:rPr>
        <w:t>Section 3.02(h)</w:t>
      </w:r>
      <w:r>
        <w:rPr>
          <w:rFonts w:ascii="Times New Roman;Times;Serif" w:hAnsi="Times New Roman;Times;Serif"/>
          <w:b w:val="false"/>
          <w:i w:val="false"/>
          <w:caps w:val="false"/>
          <w:smallCaps w:val="false"/>
          <w:sz w:val="20"/>
        </w:rPr>
        <w:t> (Brokers) (collectively, the “</w:t>
      </w:r>
      <w:r>
        <w:rPr>
          <w:rFonts w:ascii="Times New Roman;Times;Serif" w:hAnsi="Times New Roman;Times;Serif"/>
          <w:b w:val="false"/>
          <w:i/>
          <w:caps w:val="false"/>
          <w:smallCaps w:val="false"/>
          <w:sz w:val="20"/>
        </w:rPr>
        <w:t>Fundamental Representations</w:t>
      </w:r>
      <w:r>
        <w:rPr>
          <w:rFonts w:ascii="Times New Roman;Times;Serif" w:hAnsi="Times New Roman;Times;Serif"/>
          <w:b w:val="false"/>
          <w:i w:val="false"/>
          <w:caps w:val="false"/>
          <w:smallCaps w:val="false"/>
          <w:sz w:val="20"/>
        </w:rPr>
        <w:t>”) shall survive the Closing for five (5) years after the Closing Date;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the representations and warranties in </w:t>
      </w:r>
      <w:r>
        <w:rPr>
          <w:rFonts w:ascii="Times New Roman;Times;Serif" w:hAnsi="Times New Roman;Times;Serif"/>
          <w:b w:val="false"/>
          <w:i/>
          <w:caps w:val="false"/>
          <w:smallCaps w:val="false"/>
          <w:sz w:val="20"/>
        </w:rPr>
        <w:t>Section 3.01(k)</w:t>
      </w:r>
      <w:r>
        <w:rPr>
          <w:rFonts w:ascii="Times New Roman;Times;Serif" w:hAnsi="Times New Roman;Times;Serif"/>
          <w:b w:val="false"/>
          <w:i w:val="false"/>
          <w:caps w:val="false"/>
          <w:smallCaps w:val="false"/>
          <w:sz w:val="20"/>
        </w:rPr>
        <w:t xml:space="preserve"> (Taxes) shall survive the Closing until thirty (30) days after the expiration of the applicable Tax statute of limitations. The indemnity obligations of Seller pursuant to </w:t>
      </w:r>
      <w:r>
        <w:rPr>
          <w:rFonts w:ascii="Times New Roman;Times;Serif" w:hAnsi="Times New Roman;Times;Serif"/>
          <w:b w:val="false"/>
          <w:i/>
          <w:caps w:val="false"/>
          <w:smallCaps w:val="false"/>
          <w:sz w:val="20"/>
        </w:rPr>
        <w:t>Section 6.01(b)</w:t>
      </w:r>
      <w:r>
        <w:rPr>
          <w:rFonts w:ascii="Times New Roman;Times;Serif" w:hAnsi="Times New Roman;Times;Serif"/>
          <w:b w:val="false"/>
          <w:i w:val="false"/>
          <w:caps w:val="false"/>
          <w:smallCaps w:val="false"/>
          <w:sz w:val="20"/>
        </w:rPr>
        <w:t> shall survive until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as to item 1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any right of a counterparty of the Project Company to receive Delay Damages has expired or been terminated;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as to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until the Purchaser Tax Equity Guaranty or Purchaser Tax Credit Transfer Guaranty (if any) has expired or been terminated and any claims thereunder are fully and finally resolved and no longer subject to appeal or rehearing. The other covenants, agreements and obligations in this Agreement to be performed shall survive until the date on which they have been fully performed. No claim under this Agreement may be made unless such Party shall have delivered, with respect to any claim under </w:t>
      </w:r>
      <w:r>
        <w:rPr>
          <w:rFonts w:ascii="Times New Roman;Times;Serif" w:hAnsi="Times New Roman;Times;Serif"/>
          <w:b w:val="false"/>
          <w:i/>
          <w:caps w:val="false"/>
          <w:smallCaps w:val="false"/>
          <w:sz w:val="20"/>
        </w:rPr>
        <w:t xml:space="preserve">Section 6.01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caps w:val="false"/>
          <w:smallCaps w:val="false"/>
          <w:sz w:val="20"/>
        </w:rPr>
        <w:t>Section 6.02</w:t>
      </w:r>
      <w:r>
        <w:rPr>
          <w:rFonts w:ascii="Times New Roman;Times;Serif" w:hAnsi="Times New Roman;Times;Serif"/>
          <w:b w:val="false"/>
          <w:i w:val="false"/>
          <w:caps w:val="false"/>
          <w:smallCaps w:val="false"/>
          <w:sz w:val="20"/>
        </w:rPr>
        <w:t xml:space="preserve">, a written notice of claim prior to the applicable survival expiration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written notice for a claim of indemnification has been provided by the Indemnified Party pursuant to </w:t>
      </w:r>
      <w:r>
        <w:rPr>
          <w:rFonts w:ascii="Times New Roman;Times;Serif" w:hAnsi="Times New Roman;Times;Serif"/>
          <w:b w:val="false"/>
          <w:i/>
          <w:caps w:val="false"/>
          <w:smallCaps w:val="false"/>
          <w:sz w:val="20"/>
        </w:rPr>
        <w:t>Section 6.04(a)</w:t>
      </w:r>
      <w:r>
        <w:rPr>
          <w:rFonts w:ascii="Times New Roman;Times;Serif" w:hAnsi="Times New Roman;Times;Serif"/>
          <w:b w:val="false"/>
          <w:i w:val="false"/>
          <w:caps w:val="false"/>
          <w:smallCaps w:val="false"/>
          <w:sz w:val="20"/>
        </w:rPr>
        <w:t xml:space="preserve"> on or prior to the applicable survival expiration date, then the obligation of the Indemnifying Party to indemnify the Indemnified Party pursuant to this </w:t>
      </w:r>
      <w:r>
        <w:rPr>
          <w:rFonts w:ascii="Times New Roman;Times;Serif" w:hAnsi="Times New Roman;Times;Serif"/>
          <w:b w:val="false"/>
          <w:i/>
          <w:caps w:val="false"/>
          <w:smallCaps w:val="false"/>
          <w:sz w:val="20"/>
        </w:rPr>
        <w:t xml:space="preserve">Article 6 </w:t>
      </w:r>
      <w:r>
        <w:rPr>
          <w:rFonts w:ascii="Times New Roman;Times;Serif" w:hAnsi="Times New Roman;Times;Serif"/>
          <w:b w:val="false"/>
          <w:i w:val="false"/>
          <w:caps w:val="false"/>
          <w:smallCaps w:val="false"/>
          <w:sz w:val="20"/>
        </w:rPr>
        <w:t>shall survive with respect to such claim until such claim is finally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6.04.       </w:t>
      </w:r>
      <w:r>
        <w:rPr>
          <w:rFonts w:ascii="Times New Roman;Times;Serif" w:hAnsi="Times New Roman;Times;Serif"/>
          <w:b/>
          <w:i/>
          <w:caps w:val="false"/>
          <w:smallCaps w:val="false"/>
          <w:sz w:val="20"/>
        </w:rPr>
        <w:t>Limitations on Claims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 Indemnifying Party shall have no obligation to indemnify an Indemnified Party until the aggregate amount of all Losses incurred that are subject to indemnification by such Indemnifying Party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equal or exceed [***] of the Purchase Price (the “</w:t>
      </w:r>
      <w:r>
        <w:rPr>
          <w:rFonts w:ascii="Times New Roman;Times;Serif" w:hAnsi="Times New Roman;Times;Serif"/>
          <w:b w:val="false"/>
          <w:i/>
          <w:caps w:val="false"/>
          <w:smallCaps w:val="false"/>
          <w:sz w:val="20"/>
        </w:rPr>
        <w:t>Deductible</w:t>
      </w:r>
      <w:r>
        <w:rPr>
          <w:rFonts w:ascii="Times New Roman;Times;Serif" w:hAnsi="Times New Roman;Times;Serif"/>
          <w:b w:val="false"/>
          <w:i w:val="false"/>
          <w:caps w:val="false"/>
          <w:smallCaps w:val="false"/>
          <w:sz w:val="20"/>
        </w:rPr>
        <w:t xml:space="preserve">”) in which event the Indemnifying Party shall be liable for Losses only to the extent they are in excess of the Deductible;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Deductible shall not apply to Losses resulting from, arising out of or relating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any Fraudulent Action;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the matters referenced on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 breach of any Fundamental Representations.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aggregate liability of the Seller Indemnifying Parties and the Purchaser Indemnifying Parties under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resulting from any claims under any breaches of representations or warranties herein and in any certificates delivered pursuant hereto shall be limited to an amount equal to [***] of the Purchase Price (the “</w:t>
      </w:r>
      <w:r>
        <w:rPr>
          <w:rFonts w:ascii="Times New Roman;Times;Serif" w:hAnsi="Times New Roman;Times;Serif"/>
          <w:b w:val="false"/>
          <w:i/>
          <w:caps w:val="false"/>
          <w:smallCaps w:val="false"/>
          <w:sz w:val="20"/>
        </w:rPr>
        <w:t>Cap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Cap shall not apply to Losses resulting from, arising out of or relating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any Fraudulent Action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 breach of the Fundamental Representations. The aggregate liability of the Seller Indemnifying Parties or the Purchaser Indemnifying Parties, as applicable, resulting from breaches of representations or warranties (including Fundamental Representations), covenants, agreements or obligations made in this Agreement or in any certificates delivered pursuant hereto (including, for the avoidance of doubt, in respect of the matters referenced on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other than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shall be limited to an amount equal to the Purchase Price (the “</w:t>
      </w:r>
      <w:r>
        <w:rPr>
          <w:rFonts w:ascii="Times New Roman;Times;Serif" w:hAnsi="Times New Roman;Times;Serif"/>
          <w:b w:val="false"/>
          <w:i/>
          <w:caps w:val="false"/>
          <w:smallCaps w:val="false"/>
          <w:sz w:val="20"/>
        </w:rPr>
        <w:t>Aggregate Cap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Cap shall not apply to Losses resulting from, arising out of or relating to the matters referenced in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in no event shall the sum of Seller’s liability resulting from any claims under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in the aggregate, exceed the Tax Loss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amount of any claim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will be reduced by the amount of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any actual recovery under insurance policies that provide coverage;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actual recovery of reimbursement, indemnification or payment from any third Person;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payment or Tax benefit after the date on which an indemnity payment has been made to the Indemnified Party, the Indemnified Party shall promptly make payment to the Indemnifying Party in an amount equal to such payment or Tax benefit;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payment shall not exceed the amount of the indemnity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provision of this Agreement to the contrary, neither Purchaser nor Seller shall be obligated to indemnify any Seller Indemnified Party or Purchaser Indemnified Party, as applicable, for any Losses to the extent such Loss is accounted for in the determination of the Adjusted Purchase Price Amount pursuant to the Adjusted Purchase Price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6.05.       </w:t>
      </w:r>
      <w:r>
        <w:rPr>
          <w:rFonts w:ascii="Times New Roman;Times;Serif" w:hAnsi="Times New Roman;Times;Serif"/>
          <w:b/>
          <w:i/>
          <w:caps w:val="false"/>
          <w:smallCaps w:val="false"/>
          <w:sz w:val="20"/>
        </w:rPr>
        <w:t>Procedure for Indemnification of Third Party Claims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xml:space="preserve">. Whenever any claim by a third party shall arise for indemnification under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the Indemnified Party shall 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Settlement of Losses</w:t>
      </w:r>
      <w:r>
        <w:rPr>
          <w:rFonts w:ascii="Times New Roman;Times;Serif" w:hAnsi="Times New Roman;Times;Serif"/>
          <w:b w:val="false"/>
          <w:i w:val="false"/>
          <w:caps w:val="false"/>
          <w:smallCaps w:val="false"/>
          <w:sz w:val="20"/>
        </w:rPr>
        <w:t xml:space="preserve">. If the Indemnified Party has assumed the defense of any claim by a third party which may give rise to indemnity hereunder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the Indemnified Party shall not settle, consent to the entry of a judgment of or compromise such claim without the prior written consent (which consent shall not be unreasonably withheld or delayed) of the Indemnifying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6.06.       </w:t>
      </w:r>
      <w:r>
        <w:rPr>
          <w:rFonts w:ascii="Times New Roman;Times;Serif" w:hAnsi="Times New Roman;Times;Serif"/>
          <w:b/>
          <w:i/>
          <w:caps w:val="false"/>
          <w:smallCaps w:val="false"/>
          <w:sz w:val="20"/>
        </w:rPr>
        <w:t>Rights of the Indemnifying Party in the Defense of Third Party Claims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Right to Assume the Defense</w:t>
      </w:r>
      <w:r>
        <w:rPr>
          <w:rFonts w:ascii="Times New Roman;Times;Serif" w:hAnsi="Times New Roman;Times;Serif"/>
          <w:b w:val="false"/>
          <w:i w:val="false"/>
          <w:caps w:val="false"/>
          <w:smallCaps w:val="false"/>
          <w:sz w:val="20"/>
        </w:rPr>
        <w:t>. In connection with any claim by a third party which may give rise to indemnity hereunder, the 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Procedure</w:t>
      </w:r>
      <w:r>
        <w:rPr>
          <w:rFonts w:ascii="Times New Roman;Times;Serif" w:hAnsi="Times New Roman;Times;Serif"/>
          <w:b w:val="false"/>
          <w:i w:val="false"/>
          <w:caps w:val="false"/>
          <w:smallCaps w:val="false"/>
          <w:sz w:val="20"/>
        </w:rPr>
        <w:t>. If the Indemnifying Party assumes the defense of any such claim, the Indemnifying Party shall: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select counsel reasonably acceptable to the Indemnified Party to conduct the defense of such claim;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take all steps necessary in the defense or settlement thereof, at its sole cost and expense. The Indemnified Party shall be entitled to participate in (but not control) the defense of any such claim, with its own counsel and at its sole cost and expense;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apprised at all times as to the status of the defense or any settlement negotiations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Settlement of Losses</w:t>
      </w:r>
      <w:r>
        <w:rPr>
          <w:rFonts w:ascii="Times New Roman;Times;Serif" w:hAnsi="Times New Roman;Times;Serif"/>
          <w:b w:val="false"/>
          <w:i w:val="false"/>
          <w:caps w:val="false"/>
          <w:smallCaps w:val="false"/>
          <w:sz w:val="20"/>
        </w:rPr>
        <w:t>. The Indemnifying Party shall not consent to a settlement of or the entry of any judgment arising from, any such claim or legal proceeding, without the prior written consent of the Indemnified Party (which consent shall not be unreasonably withheld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Decline to Assume the Defense</w:t>
      </w:r>
      <w:r>
        <w:rPr>
          <w:rFonts w:ascii="Times New Roman;Times;Serif" w:hAnsi="Times New Roman;Times;Serif"/>
          <w:b w:val="false"/>
          <w:i w:val="false"/>
          <w:caps w:val="false"/>
          <w:smallCaps w:val="false"/>
          <w:sz w:val="20"/>
        </w:rPr>
        <w:t>. The Indemnified Party may defend against any such claim, at the sole cost and expense of the Indemnifying Party, in such manner as it may deem reasonably appropriate, including settling such claim in accordance with the terms hereof, if: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Indemnifying Party does not assume the defense of any such claim resulting therefrom within thirty (30) days after the date the Indemnifying Party is notified of such claim by the Indemnified Party;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Indemnified Party reasonably concludes that the Indemnifying Party is: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not diligently defending the Indemnified Party;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not contesting such claim in good faith through appropriate proceedings;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has not taken such action (including the posting of a bond, deposit or other security) as may be necessary to prevent any action to foreclose a Lien against or attachment of any asset or property of the Indemnified Party for payment of such claim;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the case of this clause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Indemnified Party will provide written notice to the Indemnifying Party of Indemnified Party’s conclusion, and Indemnifying Party shall have failed to take the applicable actions within thirty (30) days of such written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6.07.       </w:t>
      </w:r>
      <w:r>
        <w:rPr>
          <w:rFonts w:ascii="Times New Roman;Times;Serif" w:hAnsi="Times New Roman;Times;Serif"/>
          <w:b/>
          <w:i/>
          <w:caps w:val="false"/>
          <w:smallCaps w:val="false"/>
          <w:sz w:val="20"/>
        </w:rPr>
        <w:t>Direct Claims</w:t>
      </w:r>
      <w:r>
        <w:rPr>
          <w:rFonts w:ascii="Times New Roman;Times;Serif" w:hAnsi="Times New Roman;Times;Serif"/>
          <w:b w:val="false"/>
          <w:i w:val="false"/>
          <w:caps w:val="false"/>
          <w:smallCaps w:val="false"/>
          <w:sz w:val="20"/>
        </w:rPr>
        <w:t xml:space="preserve">. In the event that any Indemnified Party has a claim against any Indemnifying Party which may give rise to indemnity 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against the Indemnifying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6.08.       </w:t>
      </w:r>
      <w:r>
        <w:rPr>
          <w:rFonts w:ascii="Times New Roman;Times;Serif" w:hAnsi="Times New Roman;Times;Serif"/>
          <w:b/>
          <w:i/>
          <w:caps w:val="false"/>
          <w:smallCaps w:val="false"/>
          <w:sz w:val="20"/>
        </w:rPr>
        <w:t>Exclusive Remedy</w:t>
      </w:r>
      <w:r>
        <w:rPr>
          <w:rFonts w:ascii="Times New Roman;Times;Serif" w:hAnsi="Times New Roman;Times;Serif"/>
          <w:b w:val="false"/>
          <w:i w:val="false"/>
          <w:caps w:val="false"/>
          <w:smallCaps w:val="false"/>
          <w:sz w:val="20"/>
        </w:rPr>
        <w:t xml:space="preserve">. Absent any Fraudulent Action, the indemnities set forth in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shall be the exclusive remedies of Purchaser 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6.09.       </w:t>
      </w:r>
      <w:r>
        <w:rPr>
          <w:rFonts w:ascii="Times New Roman;Times;Serif" w:hAnsi="Times New Roman;Times;Serif"/>
          <w:b/>
          <w:i/>
          <w:caps w:val="false"/>
          <w:smallCaps w:val="false"/>
          <w:sz w:val="20"/>
        </w:rPr>
        <w:t>Mitigations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Parties agrees to take all commercially reasonable steps to mitigate their respective Losses upon and after becoming aware of any event or condition which would reasonably be expected to give rise to any Losses that are indemnifiable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making any payment to the Indemnified Party for any indemnification claim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6.10.       </w:t>
      </w:r>
      <w:r>
        <w:rPr>
          <w:rFonts w:ascii="Times New Roman;Times;Serif" w:hAnsi="Times New Roman;Times;Serif"/>
          <w:b/>
          <w:i/>
          <w:caps w:val="false"/>
          <w:smallCaps w:val="false"/>
          <w:sz w:val="20"/>
        </w:rPr>
        <w:t>Indemnity Treatment</w:t>
      </w:r>
      <w:r>
        <w:rPr>
          <w:rFonts w:ascii="Times New Roman;Times;Serif" w:hAnsi="Times New Roman;Times;Serif"/>
          <w:b w:val="false"/>
          <w:i w:val="false"/>
          <w:caps w:val="false"/>
          <w:smallCaps w:val="false"/>
          <w:sz w:val="20"/>
        </w:rPr>
        <w:t xml:space="preserve">. Any amount of indemnification payable pursuant to the provisions of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shall, to the extent permitted by law, be treated as an adjustment to the Purchase Price (as determined for all relevant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b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7.01.       </w:t>
      </w:r>
      <w:r>
        <w:rPr>
          <w:rFonts w:ascii="Times New Roman;Times;Serif" w:hAnsi="Times New Roman;Times;Serif"/>
          <w:b/>
          <w:i/>
          <w:caps w:val="false"/>
          <w:smallCaps w:val="false"/>
          <w:sz w:val="20"/>
        </w:rPr>
        <w:t>Termination</w:t>
      </w:r>
      <w:r>
        <w:rPr>
          <w:rFonts w:ascii="Times New Roman;Times;Serif" w:hAnsi="Times New Roman;Times;Serif"/>
          <w:b w:val="false"/>
          <w:i w:val="false"/>
          <w:caps w:val="false"/>
          <w:smallCaps w:val="false"/>
          <w:sz w:val="20"/>
        </w:rPr>
        <w:t>. This Agreement may be terminated at any time prior to the Closing Date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Seller and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Party if the Closing has not occurred on or before December 31, 2028 (the “</w:t>
      </w:r>
      <w:r>
        <w:rPr>
          <w:rFonts w:ascii="Times New Roman;Times;Serif" w:hAnsi="Times New Roman;Times;Serif"/>
          <w:b w:val="false"/>
          <w:i/>
          <w:caps w:val="false"/>
          <w:smallCaps w:val="false"/>
          <w:sz w:val="20"/>
        </w:rPr>
        <w:t>Outside Date</w:t>
      </w:r>
      <w:r>
        <w:rPr>
          <w:rFonts w:ascii="Times New Roman;Times;Serif" w:hAnsi="Times New Roman;Times;Serif"/>
          <w:b w:val="false"/>
          <w:i w:val="false"/>
          <w:caps w:val="false"/>
          <w:smallCaps w:val="false"/>
          <w:sz w:val="20"/>
        </w:rPr>
        <w:t>”), and the failure to reach the Closing Date was not caused by a breach of this Agreement by the terminating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Purchaser if there has been a breach by Seller of any representation, warranty, covenant or agreement contained in this Agreement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would result in a failure of a condition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as applicable;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either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is a breach of Seller’s obligations to transfer the Acquired Interests at Closing in accordance with this Agreement;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such breach has not been cured, or by its nature cannot be cured, within thirty (30) days following written notification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at the end of such thirty (30) day period, Seller is endeavoring in good faith, and proceeding diligently, to cure such breach, Seller shall have an additional thirty (30) days in which to effect such cure;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Seller if there has been a breach by Purchaser of any representation, warranty, covenant or agreement contained in this Agreement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would result in a failure of a condition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as applicable;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such breach has not been cured, or by its nature cannot be cured, within thirty (30) days following written notification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at the end of such thirty (30) day period, Purchaser is endeavoring in good faith, and proceeding diligently, to cure such breach, Purchaser shall have an additional thirty (30) days in which to effect such cure.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7.02.       </w:t>
      </w:r>
      <w:r>
        <w:rPr>
          <w:rFonts w:ascii="Times New Roman;Times;Serif" w:hAnsi="Times New Roman;Times;Serif"/>
          <w:b/>
          <w:i/>
          <w:caps w:val="false"/>
          <w:smallCaps w:val="false"/>
          <w:sz w:val="20"/>
        </w:rPr>
        <w:t>Effect of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this Agreement is validly terminated pursuant to </w:t>
      </w:r>
      <w:r>
        <w:rPr>
          <w:rFonts w:ascii="Times New Roman;Times;Serif" w:hAnsi="Times New Roman;Times;Serif"/>
          <w:b w:val="false"/>
          <w:i/>
          <w:caps w:val="false"/>
          <w:smallCaps w:val="false"/>
          <w:sz w:val="20"/>
        </w:rPr>
        <w:t>Section 7.01</w:t>
      </w:r>
      <w:r>
        <w:rPr>
          <w:rFonts w:ascii="Times New Roman;Times;Serif" w:hAnsi="Times New Roman;Times;Serif"/>
          <w:b w:val="false"/>
          <w:i w:val="false"/>
          <w:caps w:val="false"/>
          <w:smallCaps w:val="false"/>
          <w:sz w:val="20"/>
        </w:rPr>
        <w:t xml:space="preserve">, this Agreement will forthwith become null and void, and there will be no liability or obligation on the part of either Purchaser or Seller (or any of their respective Representatives or Affiliates) in respect of this Agreement, except that the applicable portions of this </w:t>
      </w:r>
      <w:r>
        <w:rPr>
          <w:rFonts w:ascii="Times New Roman;Times;Serif" w:hAnsi="Times New Roman;Times;Serif"/>
          <w:b w:val="false"/>
          <w:i/>
          <w:caps w:val="false"/>
          <w:smallCaps w:val="false"/>
          <w:sz w:val="20"/>
        </w:rPr>
        <w:t>Section 7.02</w:t>
      </w:r>
      <w:r>
        <w:rPr>
          <w:rFonts w:ascii="Times New Roman;Times;Serif" w:hAnsi="Times New Roman;Times;Serif"/>
          <w:b w:val="false"/>
          <w:i w:val="false"/>
          <w:caps w:val="false"/>
          <w:smallCaps w:val="false"/>
          <w:sz w:val="20"/>
        </w:rPr>
        <w:t xml:space="preserve">, and the entirety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Article 8</w:t>
      </w:r>
      <w:r>
        <w:rPr>
          <w:rFonts w:ascii="Times New Roman;Times;Serif" w:hAnsi="Times New Roman;Times;Serif"/>
          <w:b w:val="false"/>
          <w:i w:val="false"/>
          <w:caps w:val="false"/>
          <w:smallCaps w:val="false"/>
          <w:sz w:val="20"/>
        </w:rPr>
        <w:t xml:space="preserve"> will continue to apply following any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caps w:val="false"/>
          <w:smallCaps w:val="false"/>
          <w:sz w:val="20"/>
        </w:rPr>
        <w:t>Section 7.02</w:t>
      </w:r>
      <w:r>
        <w:rPr>
          <w:rFonts w:ascii="Times New Roman;Times;Serif" w:hAnsi="Times New Roman;Times;Serif"/>
          <w:b w:val="false"/>
          <w:i w:val="false"/>
          <w:caps w:val="false"/>
          <w:smallCaps w:val="false"/>
          <w:sz w:val="20"/>
        </w:rPr>
        <w:t xml:space="preserve"> shall release any Party from liability for any breach of this Agreement by such Party prior to the termination of this Agreement (and any attempted termination by the breaching Party shall be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termination of this Agreement by a Party for any reason: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Purchaser shall return all documents and other materials of Seller relating to the Target Company and the Acquired Companies, the assets or properties of the Target Company and the Acquired Companies and the transactions contemplated hereby;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Seller shall return all documents and other materials of Purchaser relating to the transactions contemplated hereby. Each Party shall also return to the other Party any information relating to the Parties to this Agreement furnished by one Party to the other, whether obtained before or after the execution of this Agreement. All information received by each Party with respect to the Target Company, the Acquired Companies, the assets of the Target Company, the assets of the Acquired Companies or the other Party shall remain subject to the provisions of </w:t>
      </w:r>
      <w:r>
        <w:rPr>
          <w:rFonts w:ascii="Times New Roman;Times;Serif" w:hAnsi="Times New Roman;Times;Serif"/>
          <w:b w:val="false"/>
          <w:i/>
          <w:caps w:val="false"/>
          <w:smallCaps w:val="false"/>
          <w:sz w:val="20"/>
        </w:rPr>
        <w:t>Section 8.06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b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8.01.       </w:t>
      </w:r>
      <w:r>
        <w:rPr>
          <w:rFonts w:ascii="Times New Roman;Times;Serif" w:hAnsi="Times New Roman;Times;Serif"/>
          <w:b/>
          <w:i/>
          <w:caps w:val="false"/>
          <w:smallCaps w:val="false"/>
          <w:sz w:val="20"/>
        </w:rPr>
        <w:t>Notices</w:t>
      </w:r>
      <w:r>
        <w:rPr>
          <w:rFonts w:ascii="Times New Roman;Times;Serif" w:hAnsi="Times New Roman;Times;Serif"/>
          <w:b w:val="false"/>
          <w:i w:val="false"/>
          <w:caps w:val="false"/>
          <w:smallCaps w:val="false"/>
          <w:sz w:val="20"/>
        </w:rPr>
        <w:t>. All notices, requests and other communications hereunder must be in writing and will be deemed to have been duly given only if delivered personally, by email, by reputable national overnight courier service or by registered or certified mail (postage prepaid) to the Parties at the following addresses or email addresses, as applicable:</w:t>
      </w:r>
    </w:p>
    <w:p>
      <w:pPr>
        <w:pStyle w:val="TextBody"/>
        <w:bidi w:val="0"/>
        <w:spacing w:before="0" w:after="0"/>
        <w:ind w:left="0" w:right="0" w:hanging="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1505"/>
        <w:gridCol w:w="3050"/>
      </w:tblGrid>
      <w:tr>
        <w:trPr/>
        <w:tc>
          <w:tcPr>
            <w:tcW w:w="1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Purchaser, to:</w:t>
            </w:r>
          </w:p>
        </w:tc>
        <w:tc>
          <w:tcPr>
            <w:tcW w:w="3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Swan Purchaser LLC</w:t>
              <w:br/>
              <w:t>c/o Clearway Energy Inc.</w:t>
              <w:br/>
              <w:t>300 Carnegie Center Drive, Suite 300</w:t>
              <w:br/>
              <w:t>Princeton, NJ 08540</w:t>
              <w:br/>
              <w:t>Attn: [***]</w:t>
              <w:br/>
              <w:t>Email: [***]</w:t>
            </w:r>
          </w:p>
        </w:tc>
      </w:tr>
    </w:tbl>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1220"/>
        <w:gridCol w:w="3140"/>
      </w:tblGrid>
      <w:tr>
        <w:trPr/>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Seller, to: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Swan CE Seller LLC</w:t>
              <w:br/>
              <w:t>c/o Renew Development HoldCo LLC</w:t>
              <w:br/>
              <w:t>[***]</w:t>
              <w:br/>
              <w:t>[***]</w:t>
              <w:br/>
              <w:t>Attention: [***]</w:t>
              <w:br/>
              <w:t>E-mail: [***]</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1295"/>
        <w:gridCol w:w="2840"/>
      </w:tblGrid>
      <w:tr>
        <w:trPr/>
        <w:tc>
          <w:tcPr>
            <w:tcW w:w="1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 Development HoldCo LLC</w:t>
              <w:br/>
              <w:t>[***]</w:t>
              <w:br/>
              <w:t>[***]</w:t>
              <w:br/>
              <w:t>Attention: [***]</w:t>
              <w:br/>
              <w:t>E-mail: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requests and other communications will be deemed given upon the first to occur of such item having been: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delivered personally (or refusal of delivery) to the address provided in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delivered by confirmed email transmission to the email address provided in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delivered (or refusal of such delivery) by registered or certified mail (postage prepaid) or by reputable national overnight courier service in the manner described above to the address provided in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xml:space="preserve"> (in each case regardless of whether such notice, request or other communication is received by any other Person to whom a copy of such notice, request or other communication is to be delivered pursuant to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Any Party from time to time may change its address, email address or other information for the purpose of notices to that Party by giving notice specifying such change to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8.02.       </w:t>
      </w:r>
      <w:r>
        <w:rPr>
          <w:rFonts w:ascii="Times New Roman;Times;Serif" w:hAnsi="Times New Roman;Times;Serif"/>
          <w:b/>
          <w:i/>
          <w:caps w:val="false"/>
          <w:smallCaps w:val="false"/>
          <w:sz w:val="20"/>
        </w:rPr>
        <w:t>Entire Agreement</w:t>
      </w:r>
      <w:r>
        <w:rPr>
          <w:rFonts w:ascii="Times New Roman;Times;Serif" w:hAnsi="Times New Roman;Times;Serif"/>
          <w:b w:val="false"/>
          <w:i w:val="false"/>
          <w:caps w:val="false"/>
          <w:smallCaps w:val="false"/>
          <w:sz w:val="20"/>
        </w:rPr>
        <w:t>. This Agreement and the documents referenced herein supersede all prior discussions and agreements, whether oral or written, between the Parties with respect to the subject matter hereof, and contain the entire agreement between the Parties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8.03.       </w:t>
      </w:r>
      <w:r>
        <w:rPr>
          <w:rFonts w:ascii="Times New Roman;Times;Serif" w:hAnsi="Times New Roman;Times;Serif"/>
          <w:b/>
          <w:i/>
          <w:caps w:val="false"/>
          <w:smallCaps w:val="false"/>
          <w:sz w:val="20"/>
        </w:rPr>
        <w:t>Specific Performance</w:t>
      </w:r>
      <w:r>
        <w:rPr>
          <w:rFonts w:ascii="Times New Roman;Times;Serif" w:hAnsi="Times New Roman;Times;Serif"/>
          <w:b w:val="false"/>
          <w:i w:val="false"/>
          <w:caps w:val="false"/>
          <w:smallCaps w:val="false"/>
          <w:sz w:val="20"/>
        </w:rPr>
        <w:t>. The Parties to this Agreement agree that if any of the provisions of this Agreement were not performed in 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8.04.       </w:t>
      </w:r>
      <w:r>
        <w:rPr>
          <w:rFonts w:ascii="Times New Roman;Times;Serif" w:hAnsi="Times New Roman;Times;Serif"/>
          <w:b/>
          <w:i/>
          <w:caps w:val="false"/>
          <w:smallCaps w:val="false"/>
          <w:sz w:val="20"/>
        </w:rPr>
        <w:t>Time of the Essence</w:t>
      </w:r>
      <w:r>
        <w:rPr>
          <w:rFonts w:ascii="Times New Roman;Times;Serif" w:hAnsi="Times New Roman;Times;Serif"/>
          <w:b w:val="false"/>
          <w:i w:val="false"/>
          <w:caps w:val="false"/>
          <w:smallCaps w:val="false"/>
          <w:sz w:val="20"/>
        </w:rPr>
        <w:t>. Time is of the essence with regard to all duties and time periods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8.05.       </w:t>
      </w:r>
      <w:r>
        <w:rPr>
          <w:rFonts w:ascii="Times New Roman;Times;Serif" w:hAnsi="Times New Roman;Times;Serif"/>
          <w:b/>
          <w:i/>
          <w:caps w:val="false"/>
          <w:smallCaps w:val="false"/>
          <w:sz w:val="20"/>
        </w:rPr>
        <w:t>Expenses</w:t>
      </w:r>
      <w:r>
        <w:rPr>
          <w:rFonts w:ascii="Times New Roman;Times;Serif" w:hAnsi="Times New Roman;Times;Serif"/>
          <w:b w:val="false"/>
          <w:i w:val="false"/>
          <w:caps w:val="false"/>
          <w:smallCaps w:val="false"/>
          <w:sz w:val="20"/>
        </w:rPr>
        <w:t>. Except as otherwise expressly provided in this Agreement, whether or not the transactions contemplated hereby are consummated, each Party will pay its own costs and expenses incurred in connection with the negotiation, execution and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8.06.       </w:t>
      </w:r>
      <w:r>
        <w:rPr>
          <w:rFonts w:ascii="Times New Roman;Times;Serif" w:hAnsi="Times New Roman;Times;Serif"/>
          <w:b/>
          <w:i/>
          <w:caps w:val="false"/>
          <w:smallCaps w:val="false"/>
          <w:sz w:val="20"/>
        </w:rPr>
        <w:t>Confidentiality; Disclosures</w:t>
      </w:r>
      <w:r>
        <w:rPr>
          <w:rFonts w:ascii="Times New Roman;Times;Serif" w:hAnsi="Times New Roman;Times;Serif"/>
          <w:b w:val="false"/>
          <w:i w:val="false"/>
          <w:caps w:val="false"/>
          <w:smallCaps w:val="false"/>
          <w:sz w:val="20"/>
        </w:rPr>
        <w:t>. This Agreement is confidential, and neither Party shall disclose the terms and conditions of this Agreement to 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authority, regulatory authority or other Governmental Authority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8.07.       </w:t>
      </w:r>
      <w:r>
        <w:rPr>
          <w:rFonts w:ascii="Times New Roman;Times;Serif" w:hAnsi="Times New Roman;Times;Serif"/>
          <w:b/>
          <w:i/>
          <w:caps w:val="false"/>
          <w:smallCaps w:val="false"/>
          <w:sz w:val="20"/>
        </w:rPr>
        <w:t>Waiver</w:t>
      </w:r>
      <w:r>
        <w:rPr>
          <w:rFonts w:ascii="Times New Roman;Times;Serif" w:hAnsi="Times New Roman;Times;Serif"/>
          <w:b w:val="false"/>
          <w:i w:val="false"/>
          <w:caps w:val="false"/>
          <w:smallCaps w:val="false"/>
          <w:sz w:val="20"/>
        </w:rPr>
        <w:t xml:space="preserve">. Any term or condition of this Agreement may be waived at any time by the Party that is entitled to the benefit thereof, but no such waiver shall be effective unless set forth in a written instrument duly executed by or on behalf of the Party waiving such term or condition and delivered pursuant to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8.08.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This Agreement may be amended, supplemented or modified only by a written instrument duly executed by or on behalf of each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8.09.       </w:t>
      </w:r>
      <w:r>
        <w:rPr>
          <w:rFonts w:ascii="Times New Roman;Times;Serif" w:hAnsi="Times New Roman;Times;Serif"/>
          <w:b/>
          <w:i/>
          <w:caps w:val="false"/>
          <w:smallCaps w:val="false"/>
          <w:sz w:val="20"/>
        </w:rPr>
        <w:t>No Third Party Beneficiary</w:t>
      </w:r>
      <w:r>
        <w:rPr>
          <w:rFonts w:ascii="Times New Roman;Times;Serif" w:hAnsi="Times New Roman;Times;Serif"/>
          <w:b w:val="false"/>
          <w:i w:val="false"/>
          <w:caps w:val="false"/>
          <w:smallCaps w:val="false"/>
          <w:sz w:val="20"/>
        </w:rPr>
        <w:t xml:space="preserve">. The terms and provisions of this Agreement are intended solely for the benefit of each Party and their respective successors or permitted assigns, and it is not the intention of the Parties to confer third party beneficiary rights upon any other Person other than any Person entitled to indemnity under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8.10.       </w:t>
      </w:r>
      <w:r>
        <w:rPr>
          <w:rFonts w:ascii="Times New Roman;Times;Serif" w:hAnsi="Times New Roman;Times;Serif"/>
          <w:b/>
          <w:i/>
          <w:caps w:val="false"/>
          <w:smallCaps w:val="false"/>
          <w:sz w:val="20"/>
        </w:rPr>
        <w:t>Assignment</w:t>
      </w:r>
      <w:r>
        <w:rPr>
          <w:rFonts w:ascii="Times New Roman;Times;Serif" w:hAnsi="Times New Roman;Times;Serif"/>
          <w:b w:val="false"/>
          <w:i w:val="false"/>
          <w:caps w:val="false"/>
          <w:smallCaps w:val="false"/>
          <w:sz w:val="20"/>
        </w:rPr>
        <w:t xml:space="preserve">. The obligations of the Parties under this Agreement are not assignable without the prior written consent of the other Party, which such Party may withhold in its discretion;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Purchaser may assign this Agreement, including the right to acquire the Acquired Interests, without the prior written consent of Seller,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Affiliate of Purchaser;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financial institution providing purchase money or other financing to Purchaser from time to time as collateral security for such financing, in each case so long as Purchaser remains fully liable for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8.11.       </w:t>
      </w:r>
      <w:r>
        <w:rPr>
          <w:rFonts w:ascii="Times New Roman;Times;Serif" w:hAnsi="Times New Roman;Times;Serif"/>
          <w:b/>
          <w:i/>
          <w:caps w:val="false"/>
          <w:smallCaps w:val="false"/>
          <w:sz w:val="20"/>
        </w:rPr>
        <w:t>Severability</w:t>
      </w:r>
      <w:r>
        <w:rPr>
          <w:rFonts w:ascii="Times New Roman;Times;Serif" w:hAnsi="Times New Roman;Times;Serif"/>
          <w:b w:val="false"/>
          <w:i w:val="false"/>
          <w:caps w:val="false"/>
          <w:smallCaps w:val="false"/>
          <w:sz w:val="20"/>
        </w:rPr>
        <w:t>. If any provision of this Agreement is held to be illegal, invalid or unenforceable under any present or future Law, and if the rights or obligations of any Party under this Agreement shall not be materially and adversely affected thereby: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such provision shall be fully severable;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this Agreement shall be construed and enforced as if such illegal, invalid or unenforceable provision had never comprised a part hereof;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the remaining provisions of this Agreement shall remain in full force and effect and shall not be affected by the illegal, invalid or unenforceable provision or by its severance here 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8.12.       </w:t>
      </w:r>
      <w:r>
        <w:rPr>
          <w:rFonts w:ascii="Times New Roman;Times;Serif" w:hAnsi="Times New Roman;Times;Serif"/>
          <w:b/>
          <w:i/>
          <w:caps w:val="false"/>
          <w:smallCaps w:val="false"/>
          <w:sz w:val="20"/>
        </w:rPr>
        <w:t>Governing Law</w:t>
      </w:r>
      <w:r>
        <w:rPr>
          <w:rFonts w:ascii="Times New Roman;Times;Serif" w:hAnsi="Times New Roman;Times;Serif"/>
          <w:b w:val="false"/>
          <w:i w:val="false"/>
          <w:caps w:val="false"/>
          <w:smallCaps w:val="false"/>
          <w:sz w:val="20"/>
        </w:rPr>
        <w:t>. THIS AGREEMENT AND ALL DISPUTES AND CONTROVERSIES ARISING HEREUNDER SHALL BE GOVERNED BY AND CONSTRUED IN ALL RESPECTS IN ACCORDANCE WITH THE LAWS OF THE STATE OF NEW YORK WITHOUT GIVING EFFECT TO THE CONFLICTS OF LAWS PRINCIPLES THEREOF EXCEPT FOR SECTIONS 5-1401 AND 5-1402 OF THE NEW YORK GENERAL OBLIGATIONS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8.13.       </w:t>
      </w:r>
      <w:r>
        <w:rPr>
          <w:rFonts w:ascii="Times New Roman;Times;Serif" w:hAnsi="Times New Roman;Times;Serif"/>
          <w:b/>
          <w:i/>
          <w:caps w:val="false"/>
          <w:smallCaps w:val="false"/>
          <w:sz w:val="20"/>
        </w:rPr>
        <w:t>Consent to Jurisdiction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hereto irrevocably and unconditionally waives, to the fullest extent it may legally and effectively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objection which it may now or hereafter have to the laying of venue of any Action or Proceeding arising out of or relating to this Agreement or any related matter in any New York state or federal court located in New York County;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defense of an inconvenient forum to the maintenance of such Action or Proceeding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Party hereto irrevocably consents to service of process by registered mail, return receipt requested, as provided in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Nothing in this Agreement will affect the right of any Party hereto to serve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8.14.       </w:t>
      </w:r>
      <w:r>
        <w:rPr>
          <w:rFonts w:ascii="Times New Roman;Times;Serif" w:hAnsi="Times New Roman;Times;Serif"/>
          <w:b/>
          <w:i/>
          <w:caps w:val="false"/>
          <w:smallCaps w:val="false"/>
          <w:sz w:val="20"/>
        </w:rPr>
        <w:t>Waiver of Jury Trial</w:t>
      </w:r>
      <w:r>
        <w:rPr>
          <w:rFonts w:ascii="Times New Roman;Times;Serif" w:hAnsi="Times New Roman;Times;Serif"/>
          <w:b w:val="false"/>
          <w:i w:val="false"/>
          <w:caps w:val="false"/>
          <w:smallCaps w:val="false"/>
          <w:sz w:val="20"/>
        </w:rPr>
        <w:t>. TO THE FULLEST EXTENT PERMITTED BY LAW, EACH PARTY HEREBY WAIVES ALL RIGHTS TO A TRIAL BY JURY IN ANY LEGAL ACTION TO ENFORCE OR INTERPRET THE PROVISIONS OF THIS AGREEMENT OR THAT OTHERWISE RELATES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8.15.       </w:t>
      </w:r>
      <w:r>
        <w:rPr>
          <w:rFonts w:ascii="Times New Roman;Times;Serif" w:hAnsi="Times New Roman;Times;Serif"/>
          <w:b/>
          <w:i/>
          <w:caps w:val="false"/>
          <w:smallCaps w:val="false"/>
          <w:sz w:val="20"/>
        </w:rPr>
        <w:t>Limitation on Certain Damages</w:t>
      </w:r>
      <w:r>
        <w:rPr>
          <w:rFonts w:ascii="Times New Roman;Times;Serif" w:hAnsi="Times New Roman;Times;Serif"/>
          <w:b w:val="false"/>
          <w:i w:val="false"/>
          <w:caps w:val="false"/>
          <w:smallCaps w:val="false"/>
          <w:sz w:val="20"/>
        </w:rPr>
        <w:t>. NOTWITHSTANDING ANYTHING IN THIS AGREEMENT TO THE CONTRARY, NO PARTY SHALL BE LIABLE TO ANY OTHER PARTY FOR ANY CONSEQUENTIAL, SPECIAL, INDIRECT, SPECULATIVE, EXEMPLARY, OR PUNITIVE DAMAGES (COLLECTIVELY, “</w:t>
      </w:r>
      <w:r>
        <w:rPr>
          <w:rFonts w:ascii="Times New Roman;Times;Serif" w:hAnsi="Times New Roman;Times;Serif"/>
          <w:b w:val="false"/>
          <w:i/>
          <w:caps w:val="false"/>
          <w:smallCaps w:val="false"/>
          <w:sz w:val="20"/>
        </w:rPr>
        <w:t>CONSEQUENTIAL DAMAGES</w:t>
      </w:r>
      <w:r>
        <w:rPr>
          <w:rFonts w:ascii="Times New Roman;Times;Serif" w:hAnsi="Times New Roman;Times;Serif"/>
          <w:b w:val="false"/>
          <w:i w:val="false"/>
          <w:caps w:val="false"/>
          <w:smallCaps w:val="false"/>
          <w:sz w:val="20"/>
        </w:rPr>
        <w:t xml:space="preserve">”) FOR ANY REASON WITH RESPECT TO ANY MATTER ARISING OUT OF OR RELATING TO THIS AGREEMENT, WHETHER BASED ON STATUTE, CONTRACT, TORT OR OTHERWISE AND WHETHER OR NOT ARISING FROM THE OTHER PARTY’S SOLE, JOINT OR CONCURRENT NEGLIGENCE, STRICT LIABILITY OR OTHER FAULT;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ANY LOSSES ARISING OUT OF THIRD PARTY CLAIMS FOR WHICH A PARTY IS ENTITLED TO INDEMNIFICATION UNDER THIS AGREEMENT SHALL NOT CONSTITUTE CONSEQUENTIAL DAMAGES. FOR THE AVOIDANCE OF DOUBT, AN ACTION FOR THE PAYMENT OF THE PURCHASE PRICE SHALL NOT BE CONSIDERED CONSEQUENTIAL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8.16.       </w:t>
      </w:r>
      <w:r>
        <w:rPr>
          <w:rFonts w:ascii="Times New Roman;Times;Serif" w:hAnsi="Times New Roman;Times;Serif"/>
          <w:b/>
          <w:i/>
          <w:caps w:val="false"/>
          <w:smallCaps w:val="false"/>
          <w:sz w:val="20"/>
        </w:rPr>
        <w:t>Disclosures</w:t>
      </w:r>
      <w:r>
        <w:rPr>
          <w:rFonts w:ascii="Times New Roman;Times;Serif" w:hAnsi="Times New Roman;Times;Serif"/>
          <w:b w:val="false"/>
          <w:i w:val="false"/>
          <w:caps w:val="false"/>
          <w:smallCaps w:val="false"/>
          <w:sz w:val="20"/>
        </w:rPr>
        <w:t>. Seller or Purchaser may, at its option, include in the Disclosure Schedules items that are not material in order to avoid any 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the Target Company, the Acquired Companies or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8.17.       </w:t>
      </w:r>
      <w:r>
        <w:rPr>
          <w:rFonts w:ascii="Times New Roman;Times;Serif" w:hAnsi="Times New Roman;Times;Serif"/>
          <w:b/>
          <w:i/>
          <w:caps w:val="false"/>
          <w:smallCaps w:val="false"/>
          <w:sz w:val="20"/>
        </w:rPr>
        <w:t>PDF Signature; Counterparts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This Agreement may be executed by PDF signature in any number of counterparts, each of which will be deemed an original, but all of which together will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Membership Interest Purchase Agreement to be executed and delivered by their duly authorized officers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129" w:type="dxa"/>
        <w:jc w:val="left"/>
        <w:tblInd w:w="0" w:type="dxa"/>
        <w:tblLayout w:type="fixed"/>
        <w:tblCellMar>
          <w:top w:w="0" w:type="dxa"/>
          <w:left w:w="0" w:type="dxa"/>
          <w:bottom w:w="0" w:type="dxa"/>
          <w:right w:w="0" w:type="dxa"/>
        </w:tblCellMar>
      </w:tblPr>
      <w:tblGrid>
        <w:gridCol w:w="80"/>
        <w:gridCol w:w="483"/>
        <w:gridCol w:w="2566"/>
      </w:tblGrid>
      <w:tr>
        <w:trPr/>
        <w:tc>
          <w:tcPr>
            <w:tcW w:w="80"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w:t>
            </w:r>
          </w:p>
        </w:tc>
      </w:tr>
      <w:tr>
        <w:trPr/>
        <w:tc>
          <w:tcPr>
            <w:tcW w:w="80"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SWAN CE SELLER LLC,</w:t>
            </w:r>
            <w:r>
              <w:rPr>
                <w:rFonts w:ascii="Times New Roman;Times;Serif" w:hAnsi="Times New Roman;Times;Serif"/>
                <w:b w:val="false"/>
                <w:i w:val="false"/>
                <w:caps w:val="false"/>
                <w:smallCaps w:val="false"/>
                <w:sz w:val="20"/>
              </w:rPr>
              <w:br/>
              <w:t>a Delaware limited liability company</w:t>
            </w:r>
          </w:p>
        </w:tc>
      </w:tr>
      <w:tr>
        <w:trPr/>
        <w:tc>
          <w:tcPr>
            <w:tcW w:w="80"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6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Steven Ryder</w:t>
            </w:r>
          </w:p>
        </w:tc>
      </w:tr>
      <w:tr>
        <w:trPr/>
        <w:tc>
          <w:tcPr>
            <w:tcW w:w="80"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caps w:val="false"/>
                <w:smallCaps w:val="false"/>
              </w:rPr>
            </w:pPr>
            <w:r>
              <w:rPr>
                <w:caps w:val="false"/>
                <w:smallCaps w:val="false"/>
              </w:rPr>
              <w:t> </w:t>
            </w:r>
          </w:p>
        </w:tc>
        <w:tc>
          <w:tcPr>
            <w:tcW w:w="2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Steven Ryder</w:t>
            </w:r>
          </w:p>
        </w:tc>
      </w:tr>
      <w:tr>
        <w:trPr/>
        <w:tc>
          <w:tcPr>
            <w:tcW w:w="80"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caps w:val="false"/>
                <w:smallCaps w:val="false"/>
              </w:rPr>
            </w:pPr>
            <w:r>
              <w:rPr>
                <w:caps w:val="false"/>
                <w:smallCaps w:val="false"/>
              </w:rPr>
              <w:t> </w:t>
            </w:r>
          </w:p>
        </w:tc>
        <w:tc>
          <w:tcPr>
            <w:tcW w:w="2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r>
        <w:trPr/>
        <w:tc>
          <w:tcPr>
            <w:tcW w:w="80"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Swan Solar – CWEN MIPA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29" w:type="dxa"/>
        <w:jc w:val="left"/>
        <w:tblInd w:w="0" w:type="dxa"/>
        <w:tblLayout w:type="fixed"/>
        <w:tblCellMar>
          <w:top w:w="0" w:type="dxa"/>
          <w:left w:w="0" w:type="dxa"/>
          <w:bottom w:w="0" w:type="dxa"/>
          <w:right w:w="0" w:type="dxa"/>
        </w:tblCellMar>
      </w:tblPr>
      <w:tblGrid>
        <w:gridCol w:w="80"/>
        <w:gridCol w:w="467"/>
        <w:gridCol w:w="2582"/>
      </w:tblGrid>
      <w:tr>
        <w:trPr/>
        <w:tc>
          <w:tcPr>
            <w:tcW w:w="80"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w:t>
            </w:r>
          </w:p>
        </w:tc>
      </w:tr>
      <w:tr>
        <w:trPr/>
        <w:tc>
          <w:tcPr>
            <w:tcW w:w="80"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SWAN PURCHASER LLC</w:t>
            </w:r>
            <w:r>
              <w:rPr>
                <w:rFonts w:ascii="Times New Roman;Times;Serif" w:hAnsi="Times New Roman;Times;Serif"/>
                <w:b w:val="false"/>
                <w:i w:val="false"/>
                <w:caps w:val="false"/>
                <w:smallCaps w:val="false"/>
                <w:sz w:val="20"/>
              </w:rPr>
              <w:br/>
              <w:t>a Delaware limited liability company</w:t>
            </w:r>
          </w:p>
        </w:tc>
      </w:tr>
      <w:tr>
        <w:trPr/>
        <w:tc>
          <w:tcPr>
            <w:tcW w:w="80"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58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P. Miller</w:t>
            </w:r>
          </w:p>
        </w:tc>
      </w:tr>
      <w:tr>
        <w:trPr/>
        <w:tc>
          <w:tcPr>
            <w:tcW w:w="8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caps w:val="false"/>
                <w:smallCaps w:val="false"/>
              </w:rPr>
            </w:pPr>
            <w:r>
              <w:rPr>
                <w:caps w:val="false"/>
                <w:smallCaps w:val="false"/>
              </w:rPr>
              <w:t> </w:t>
            </w:r>
          </w:p>
        </w:tc>
        <w:tc>
          <w:tcPr>
            <w:tcW w:w="25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Stephen P. Miller</w:t>
            </w:r>
          </w:p>
        </w:tc>
      </w:tr>
      <w:tr>
        <w:trPr/>
        <w:tc>
          <w:tcPr>
            <w:tcW w:w="8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caps w:val="false"/>
                <w:smallCaps w:val="false"/>
              </w:rPr>
            </w:pPr>
            <w:r>
              <w:rPr>
                <w:caps w:val="false"/>
                <w:smallCaps w:val="false"/>
              </w:rPr>
              <w:t> </w:t>
            </w:r>
          </w:p>
        </w:tc>
        <w:tc>
          <w:tcPr>
            <w:tcW w:w="25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Swan Solar – CWEN MIPA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28753</Words>
  <Characters>154713</Characters>
  <CharactersWithSpaces>186036</CharactersWithSpaces>
  <Paragraphs>1656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