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860425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817880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580" w:hanging="37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6" w:lineRule="exact"/>
        <w:rPr>
          <w:sz w:val="24"/>
          <w:szCs w:val="24"/>
          <w:color w:val="auto"/>
        </w:rPr>
      </w:pPr>
    </w:p>
    <w:p>
      <w:pPr>
        <w:ind w:left="540" w:hanging="350"/>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001-36002</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Clearway Energy,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6" w:lineRule="exact"/>
        <w:rPr>
          <w:sz w:val="24"/>
          <w:szCs w:val="24"/>
          <w:color w:val="auto"/>
        </w:rPr>
      </w:pPr>
    </w:p>
    <w:p>
      <w:pPr>
        <w:jc w:val="center"/>
        <w:ind w:right="4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jc w:val="center"/>
        <w:ind w:right="40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29"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4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64" w:lineRule="exact"/>
        <w:rPr>
          <w:sz w:val="24"/>
          <w:szCs w:val="24"/>
          <w:color w:val="auto"/>
        </w:rPr>
      </w:pPr>
    </w:p>
    <w:p>
      <w:pPr>
        <w:sectPr>
          <w:pgSz w:w="11900" w:h="16838" w:orient="portrait"/>
          <w:cols w:equalWidth="0" w:num="2">
            <w:col w:w="7760" w:space="720"/>
            <w:col w:w="2760"/>
          </w:cols>
          <w:pgMar w:left="320" w:top="1440" w:right="339" w:bottom="1440" w:gutter="0" w:footer="0" w:header="0"/>
          <w:type w:val="continuous"/>
        </w:sectPr>
      </w:pPr>
    </w:p>
    <w:p>
      <w:pPr>
        <w:ind w:left="2160" w:right="100" w:hanging="1477"/>
        <w:spacing w:after="0" w:line="302" w:lineRule="auto"/>
        <w:rPr>
          <w:sz w:val="20"/>
          <w:szCs w:val="20"/>
          <w:color w:val="auto"/>
        </w:rPr>
      </w:pPr>
      <w:r>
        <w:rPr>
          <w:rFonts w:ascii="Times New Roman" w:cs="Times New Roman" w:eastAsia="Times New Roman" w:hAnsi="Times New Roman"/>
          <w:sz w:val="18"/>
          <w:szCs w:val="18"/>
          <w:b w:val="1"/>
          <w:bCs w:val="1"/>
          <w:color w:val="auto"/>
        </w:rPr>
        <w:t>300 Carnegie Center, Suite 300</w:t>
      </w:r>
      <w:r>
        <w:rPr>
          <w:sz w:val="20"/>
          <w:szCs w:val="20"/>
          <w:color w:val="auto"/>
        </w:rPr>
        <w:t xml:space="preserve"> </w:t>
      </w:r>
      <w:r>
        <w:rPr>
          <w:rFonts w:ascii="Times New Roman" w:cs="Times New Roman" w:eastAsia="Times New Roman" w:hAnsi="Times New Roman"/>
          <w:sz w:val="18"/>
          <w:szCs w:val="18"/>
          <w:b w:val="1"/>
          <w:bCs w:val="1"/>
          <w:color w:val="auto"/>
        </w:rPr>
        <w:t xml:space="preserve">Princeton </w:t>
      </w: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New Jersey</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08540</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(Zip Code)</w:t>
      </w:r>
    </w:p>
    <w:p>
      <w:pPr>
        <w:spacing w:after="0" w:line="275" w:lineRule="exact"/>
        <w:rPr>
          <w:sz w:val="24"/>
          <w:szCs w:val="24"/>
          <w:color w:val="auto"/>
        </w:rPr>
      </w:pPr>
    </w:p>
    <w:p>
      <w:pPr>
        <w:sectPr>
          <w:pgSz w:w="11900" w:h="16838" w:orient="portrait"/>
          <w:cols w:equalWidth="0" w:num="3">
            <w:col w:w="5120" w:space="720"/>
            <w:col w:w="2180" w:space="720"/>
            <w:col w:w="2500"/>
          </w:cols>
          <w:pgMar w:left="320" w:top="1440" w:right="339" w:bottom="1440" w:gutter="0" w:footer="0" w:header="0"/>
          <w:type w:val="continuous"/>
        </w:sectPr>
      </w:pP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6"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35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0"/>
        </w:trPr>
        <w:tc>
          <w:tcPr>
            <w:tcW w:w="35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CWEN.A</w:t>
            </w:r>
          </w:p>
        </w:tc>
        <w:tc>
          <w:tcPr>
            <w:tcW w:w="39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35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CWEN</w:t>
            </w:r>
          </w:p>
        </w:tc>
        <w:tc>
          <w:tcPr>
            <w:tcW w:w="39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5" w:lineRule="exact"/>
        <w:rPr>
          <w:sz w:val="24"/>
          <w:szCs w:val="24"/>
          <w:color w:val="auto"/>
        </w:rPr>
      </w:pPr>
    </w:p>
    <w:p>
      <w:pPr>
        <w:jc w:val="both"/>
        <w:ind w:firstLine="283"/>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 w:lineRule="exact"/>
        <w:rPr>
          <w:sz w:val="24"/>
          <w:szCs w:val="24"/>
          <w:color w:val="auto"/>
        </w:rPr>
      </w:pPr>
    </w:p>
    <w:p>
      <w:pPr>
        <w:jc w:val="center"/>
        <w:spacing w:after="0" w:line="184" w:lineRule="exact"/>
        <w:tabs>
          <w:tab w:leader="none" w:pos="2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22" w:lineRule="exact"/>
        <w:rPr>
          <w:sz w:val="24"/>
          <w:szCs w:val="24"/>
          <w:color w:val="auto"/>
        </w:rPr>
      </w:pPr>
    </w:p>
    <w:p>
      <w:pPr>
        <w:jc w:val="both"/>
        <w:ind w:firstLine="283"/>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 w:lineRule="exact"/>
        <w:rPr>
          <w:sz w:val="24"/>
          <w:szCs w:val="24"/>
          <w:color w:val="auto"/>
        </w:rPr>
      </w:pPr>
    </w:p>
    <w:p>
      <w:pPr>
        <w:jc w:val="center"/>
        <w:spacing w:after="0" w:line="184" w:lineRule="exact"/>
        <w:tabs>
          <w:tab w:leader="none" w:pos="22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22" w:lineRule="exact"/>
        <w:rPr>
          <w:sz w:val="24"/>
          <w:szCs w:val="24"/>
          <w:color w:val="auto"/>
        </w:rPr>
      </w:pPr>
    </w:p>
    <w:p>
      <w:pPr>
        <w:jc w:val="both"/>
        <w:ind w:firstLine="283"/>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1200" w:type="dxa"/>
        <w:tblCellMar>
          <w:top w:w="0" w:type="dxa"/>
          <w:left w:w="0" w:type="dxa"/>
          <w:bottom w:w="0" w:type="dxa"/>
          <w:right w:w="0" w:type="dxa"/>
        </w:tblCellMar>
      </w:tblPr>
      <w:tr>
        <w:trPr>
          <w:trHeight w:val="257"/>
        </w:trPr>
        <w:tc>
          <w:tcPr>
            <w:tcW w:w="22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2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1" w:lineRule="exact"/>
        <w:rPr>
          <w:sz w:val="24"/>
          <w:szCs w:val="24"/>
          <w:color w:val="auto"/>
        </w:rPr>
      </w:pPr>
    </w:p>
    <w:p>
      <w:pPr>
        <w:jc w:val="both"/>
        <w:ind w:firstLine="324"/>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8"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77" w:lineRule="exact"/>
        <w:rPr>
          <w:sz w:val="24"/>
          <w:szCs w:val="24"/>
          <w:color w:val="auto"/>
        </w:rPr>
      </w:pPr>
    </w:p>
    <w:p>
      <w:pPr>
        <w:ind w:left="5080"/>
        <w:spacing w:after="0" w:line="184" w:lineRule="exact"/>
        <w:tabs>
          <w:tab w:leader="none" w:pos="57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22" w:lineRule="exact"/>
        <w:rPr>
          <w:sz w:val="24"/>
          <w:szCs w:val="24"/>
          <w:color w:val="auto"/>
        </w:rPr>
      </w:pPr>
    </w:p>
    <w:p>
      <w:pPr>
        <w:jc w:val="both"/>
        <w:ind w:firstLine="283"/>
        <w:spacing w:after="0" w:line="232" w:lineRule="auto"/>
        <w:rPr>
          <w:sz w:val="20"/>
          <w:szCs w:val="20"/>
          <w:color w:val="auto"/>
        </w:rPr>
      </w:pPr>
      <w:r>
        <w:rPr>
          <w:rFonts w:ascii="Times New Roman" w:cs="Times New Roman" w:eastAsia="Times New Roman" w:hAnsi="Times New Roman"/>
          <w:sz w:val="16"/>
          <w:szCs w:val="16"/>
          <w:color w:val="auto"/>
        </w:rPr>
        <w:t>As of July 31, 2025, there were 34,613,853 shares of Class A common stock outstanding, par value $0.01 per share, 42,738,750 shares of Class B common stock outstanding, par value $0.01 per share, 83,263,747 shares of Class C common stock outstanding, par value $0.01 per share, and 41,576,142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797560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w w:val="98"/>
              </w:rPr>
              <w:t>CAUTIONARY STATEMENT REGARDING FORWARD LOOKING INFORMATION</w:t>
            </w:r>
          </w:p>
        </w:tc>
        <w:tc>
          <w:tcPr>
            <w:tcW w:w="3660" w:type="dxa"/>
            <w:vAlign w:val="bottom"/>
            <w:gridSpan w:val="4"/>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68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GLOSSARY OF TERMS</w:t>
            </w:r>
          </w:p>
        </w:tc>
        <w:tc>
          <w:tcPr>
            <w:tcW w:w="3660" w:type="dxa"/>
            <w:vAlign w:val="bottom"/>
            <w:gridSpan w:val="4"/>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32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7220" w:type="dxa"/>
            <w:vAlign w:val="bottom"/>
            <w:gridSpan w:val="8"/>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 FINANCIAL STATEMENTS AND NOTES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 MANAGEMENT’S DISCUSSION AND ANALYSIS OF FINANCIAL CONDITION AND RESULTS OF OPERATIONS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209"/>
        </w:trPr>
        <w:tc>
          <w:tcPr>
            <w:tcW w:w="200" w:type="dxa"/>
            <w:vAlign w:val="bottom"/>
          </w:tcPr>
          <w:p>
            <w:pPr>
              <w:spacing w:after="0"/>
              <w:rPr>
                <w:sz w:val="18"/>
                <w:szCs w:val="18"/>
                <w:color w:val="auto"/>
              </w:rPr>
            </w:pPr>
          </w:p>
        </w:tc>
        <w:tc>
          <w:tcPr>
            <w:tcW w:w="700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ITEM 3 — QUANTITATIVE AND QUALITATIVE DISCLOSURES ABOUT MARKET RISK</w:t>
            </w:r>
          </w:p>
        </w:tc>
        <w:tc>
          <w:tcPr>
            <w:tcW w:w="276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r>
      <w:tr>
        <w:trPr>
          <w:trHeight w:val="209"/>
        </w:trPr>
        <w:tc>
          <w:tcPr>
            <w:tcW w:w="200" w:type="dxa"/>
            <w:vAlign w:val="bottom"/>
          </w:tcPr>
          <w:p>
            <w:pPr>
              <w:spacing w:after="0"/>
              <w:rPr>
                <w:sz w:val="18"/>
                <w:szCs w:val="18"/>
                <w:color w:val="auto"/>
              </w:rPr>
            </w:pPr>
          </w:p>
        </w:tc>
        <w:tc>
          <w:tcPr>
            <w:tcW w:w="34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4 — CONTROLS AND PROCEDURES</w:t>
            </w:r>
          </w:p>
        </w:tc>
        <w:tc>
          <w:tcPr>
            <w:tcW w:w="68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r>
      <w:tr>
        <w:trPr>
          <w:trHeight w:val="210"/>
        </w:trPr>
        <w:tc>
          <w:tcPr>
            <w:tcW w:w="2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52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09"/>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 LEGAL PROCEEDINGS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58</w:t>
            </w:r>
          </w:p>
        </w:tc>
      </w:tr>
      <w:tr>
        <w:trPr>
          <w:trHeight w:val="209"/>
        </w:trPr>
        <w:tc>
          <w:tcPr>
            <w:tcW w:w="200" w:type="dxa"/>
            <w:vAlign w:val="bottom"/>
          </w:tcPr>
          <w:p>
            <w:pPr>
              <w:spacing w:after="0"/>
              <w:rPr>
                <w:sz w:val="18"/>
                <w:szCs w:val="18"/>
                <w:color w:val="auto"/>
              </w:rPr>
            </w:pPr>
          </w:p>
        </w:tc>
        <w:tc>
          <w:tcPr>
            <w:tcW w:w="22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 RISK FACTORS</w:t>
            </w:r>
          </w:p>
        </w:tc>
        <w:tc>
          <w:tcPr>
            <w:tcW w:w="480" w:type="dxa"/>
            <w:vAlign w:val="bottom"/>
            <w:tcBorders>
              <w:top w:val="single" w:sz="8" w:color="0000FF"/>
            </w:tcBorders>
          </w:tcPr>
          <w:p>
            <w:pPr>
              <w:spacing w:after="0"/>
              <w:rPr>
                <w:sz w:val="18"/>
                <w:szCs w:val="18"/>
                <w:color w:val="auto"/>
              </w:rPr>
            </w:pPr>
          </w:p>
        </w:tc>
        <w:tc>
          <w:tcPr>
            <w:tcW w:w="7560" w:type="dxa"/>
            <w:vAlign w:val="bottom"/>
            <w:gridSpan w:val="11"/>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10"/>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 UNREGISTERED SALES OF EQUITY SECURITIES AND USE OF PROCEEDS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58</w:t>
            </w:r>
          </w:p>
        </w:tc>
      </w:tr>
      <w:tr>
        <w:trPr>
          <w:trHeight w:val="209"/>
        </w:trPr>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3</w:t>
            </w:r>
          </w:p>
        </w:tc>
        <w:tc>
          <w:tcPr>
            <w:tcW w:w="3460" w:type="dxa"/>
            <w:vAlign w:val="bottom"/>
            <w:tcBorders>
              <w:top w:val="single" w:sz="8" w:color="0000FF"/>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w w:val="98"/>
              </w:rPr>
              <w:t>— DEFAULTS UPON SENIOR SECURITIES</w:t>
            </w:r>
          </w:p>
        </w:tc>
        <w:tc>
          <w:tcPr>
            <w:tcW w:w="2860" w:type="dxa"/>
            <w:vAlign w:val="bottom"/>
            <w:tcBorders>
              <w:top w:val="single" w:sz="8" w:color="0000FF"/>
            </w:tcBorders>
            <w:gridSpan w:val="2"/>
          </w:tcPr>
          <w:p>
            <w:pPr>
              <w:spacing w:after="0"/>
              <w:rPr>
                <w:sz w:val="18"/>
                <w:szCs w:val="18"/>
                <w:color w:val="auto"/>
              </w:rPr>
            </w:pPr>
          </w:p>
        </w:tc>
        <w:tc>
          <w:tcPr>
            <w:tcW w:w="336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10"/>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4</w:t>
            </w:r>
          </w:p>
        </w:tc>
        <w:tc>
          <w:tcPr>
            <w:tcW w:w="270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 MINE SAFETY DISCLOSURES</w:t>
            </w:r>
          </w:p>
        </w:tc>
        <w:tc>
          <w:tcPr>
            <w:tcW w:w="698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5</w:t>
            </w:r>
          </w:p>
        </w:tc>
        <w:tc>
          <w:tcPr>
            <w:tcW w:w="21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 OTHER INFORMATION</w:t>
            </w:r>
          </w:p>
        </w:tc>
        <w:tc>
          <w:tcPr>
            <w:tcW w:w="7540" w:type="dxa"/>
            <w:vAlign w:val="bottom"/>
            <w:gridSpan w:val="10"/>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6</w:t>
            </w:r>
          </w:p>
        </w:tc>
        <w:tc>
          <w:tcPr>
            <w:tcW w:w="108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 EXHIBITS</w:t>
            </w:r>
          </w:p>
        </w:tc>
        <w:tc>
          <w:tcPr>
            <w:tcW w:w="8600" w:type="dxa"/>
            <w:vAlign w:val="bottom"/>
            <w:gridSpan w:val="14"/>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r>
      <w:tr>
        <w:trPr>
          <w:trHeight w:val="210"/>
        </w:trPr>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211"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of the Company’s Annual Report on Form 10-K for the year ended December 31, 2024, as well as the following:</w:t>
      </w:r>
    </w:p>
    <w:p>
      <w:pPr>
        <w:spacing w:after="0" w:line="3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grow its quarterly dividend;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Company's relationships with CEG and its owners;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evaluate and consummate investment opportunities, as well as acquisitions from, and dispositions to, third parties;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assets from CEG;</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the Company’s offtake agreements to fulfill their obligations under such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contracts to sell power and procure fuel on acceptable terms and prices;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6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858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GLOSSARY OF TERMS</w:t>
            </w:r>
          </w:p>
        </w:tc>
      </w:tr>
      <w:tr>
        <w:trPr>
          <w:trHeight w:val="324"/>
        </w:trPr>
        <w:tc>
          <w:tcPr>
            <w:tcW w:w="11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tc>
      </w:tr>
      <w:tr>
        <w:trPr>
          <w:trHeight w:val="203"/>
        </w:trPr>
        <w:tc>
          <w:tcPr>
            <w:tcW w:w="26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2024 Form 10-K</w:t>
            </w:r>
          </w:p>
        </w:tc>
        <w:tc>
          <w:tcPr>
            <w:tcW w:w="858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The Company’s Annual Report on Form 10-K for the year ended December 31, 2024, as filed with the SEC on</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25, 2025.</w:t>
            </w: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2028 Senior Notes</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$850 million aggregate principal amount of 4.75% unsecured senior notes due 2028, issued by Clearway Energy</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2031 Senior Notes</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$925 million aggregate principal amount of 3.75% unsecured senior notes due 2031, issued by Clearway Energy</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2032 Senior Notes</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$350 million aggregate principal amount of 3.75% unsecured senior notes due 2032, issued by Clearway Energy</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r>
      <w:tr>
        <w:trPr>
          <w:trHeight w:val="22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non-GAAP measure, represents earnings before interest (including loss on debt extinguishment), tax,</w:t>
            </w:r>
          </w:p>
        </w:tc>
      </w:tr>
      <w:tr>
        <w:trPr>
          <w:trHeight w:val="216"/>
        </w:trPr>
        <w:tc>
          <w:tcPr>
            <w:tcW w:w="2660" w:type="dxa"/>
            <w:vAlign w:val="bottom"/>
          </w:tcPr>
          <w:p>
            <w:pPr>
              <w:spacing w:after="0"/>
              <w:rPr>
                <w:sz w:val="18"/>
                <w:szCs w:val="18"/>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adjusted for mark-to-market gains or losses, asset write offs and impairments; and</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factors which the Company does not consider indicative of future operating performance</w:t>
            </w:r>
          </w:p>
        </w:tc>
      </w:tr>
      <w:tr>
        <w:trPr>
          <w:trHeight w:val="23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 authoritative GAAP</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ATM Program</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At-The-Market Equity Offering Program</w:t>
            </w: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BESS</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Battery energy storage system</w:t>
            </w:r>
          </w:p>
        </w:tc>
      </w:tr>
      <w:tr>
        <w:trPr>
          <w:trHeight w:val="387"/>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BlackRock, Inc., a publicly-traded global investment management firm</w:t>
            </w: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CAFD</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A non-GAAP measure, Cash Available for Distribution is defined as of June 30, 2025 as Adjusted EBITDA plus</w:t>
            </w:r>
          </w:p>
        </w:tc>
      </w:tr>
      <w:tr>
        <w:trPr>
          <w:trHeight w:val="184"/>
        </w:trPr>
        <w:tc>
          <w:tcPr>
            <w:tcW w:w="2660" w:type="dxa"/>
            <w:vAlign w:val="bottom"/>
          </w:tcPr>
          <w:p>
            <w:pPr>
              <w:spacing w:after="0"/>
              <w:rPr>
                <w:sz w:val="16"/>
                <w:szCs w:val="16"/>
                <w:color w:val="auto"/>
              </w:rPr>
            </w:pP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cash distributions/return of investment from unconsolidated affiliates, cash receipts from notes receivable, cash</w:t>
            </w:r>
          </w:p>
        </w:tc>
      </w:tr>
      <w:tr>
        <w:trPr>
          <w:trHeight w:val="180"/>
        </w:trPr>
        <w:tc>
          <w:tcPr>
            <w:tcW w:w="2660" w:type="dxa"/>
            <w:vAlign w:val="bottom"/>
          </w:tcPr>
          <w:p>
            <w:pPr>
              <w:spacing w:after="0"/>
              <w:rPr>
                <w:sz w:val="15"/>
                <w:szCs w:val="15"/>
                <w:color w:val="auto"/>
              </w:rPr>
            </w:pP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distributions from noncontrolling interests, adjustments to reflect sales-type lease cash payments and payments for</w:t>
            </w:r>
          </w:p>
        </w:tc>
      </w:tr>
      <w:tr>
        <w:trPr>
          <w:trHeight w:val="176"/>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lease expenses, less cash distributions to noncontrolling interests, maintenance capital expenditures, pro-rata</w:t>
            </w:r>
          </w:p>
        </w:tc>
      </w:tr>
      <w:tr>
        <w:trPr>
          <w:trHeight w:val="184"/>
        </w:trPr>
        <w:tc>
          <w:tcPr>
            <w:tcW w:w="2660" w:type="dxa"/>
            <w:vAlign w:val="bottom"/>
          </w:tcPr>
          <w:p>
            <w:pPr>
              <w:spacing w:after="0"/>
              <w:rPr>
                <w:sz w:val="16"/>
                <w:szCs w:val="16"/>
                <w:color w:val="auto"/>
              </w:rPr>
            </w:pP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Adjusted EBITDA from unconsolidated affiliates, cash interest paid, income taxes paid, principal amortization of</w:t>
            </w: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indebtedness, changes in prepaid and accrued capacity payments and adjusted for development expenses</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CEG</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Clearway Energy Group LLC (formerly Zephyr Renewables LLC)</w:t>
            </w: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CEG Master Services Agreement</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Amended and Restated Master Services Agreement and Payroll Sharing Agreement, effective as of January 1,</w:t>
            </w:r>
          </w:p>
        </w:tc>
      </w:tr>
      <w:tr>
        <w:trPr>
          <w:trHeight w:val="184"/>
        </w:trPr>
        <w:tc>
          <w:tcPr>
            <w:tcW w:w="2660" w:type="dxa"/>
            <w:vAlign w:val="bottom"/>
          </w:tcPr>
          <w:p>
            <w:pPr>
              <w:spacing w:after="0"/>
              <w:rPr>
                <w:sz w:val="16"/>
                <w:szCs w:val="16"/>
                <w:color w:val="auto"/>
              </w:rPr>
            </w:pP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2025, among the Company, Clearway Energy Finance Inc., Clearway Energy LLC, Clearway Energy Operating</w:t>
            </w:r>
          </w:p>
        </w:tc>
      </w:tr>
      <w:tr>
        <w:trPr>
          <w:trHeight w:val="230"/>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LLC and CEG</w:t>
            </w: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Clearway Energy LLC</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The holding company through which the facilities are owned by Clearway Energy Group LLC, the holder of Class</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 and Class D units, and Clearway Energy, Inc., the holder of the Class A and Class C units</w:t>
            </w: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Clearway Energy Group LLC</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The holder of all shares of the Company’s Class B and Class D common stock and Clearway Energy LLC’s Class</w:t>
            </w:r>
          </w:p>
        </w:tc>
      </w:tr>
      <w:tr>
        <w:trPr>
          <w:trHeight w:val="184"/>
        </w:trPr>
        <w:tc>
          <w:tcPr>
            <w:tcW w:w="2660" w:type="dxa"/>
            <w:vAlign w:val="bottom"/>
          </w:tcPr>
          <w:p>
            <w:pPr>
              <w:spacing w:after="0"/>
              <w:rPr>
                <w:sz w:val="16"/>
                <w:szCs w:val="16"/>
                <w:color w:val="auto"/>
              </w:rPr>
            </w:pP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B and Class D units and, from time to time, possibly shares of the Company’s Class A and/or Class C common</w:t>
            </w:r>
          </w:p>
        </w:tc>
      </w:tr>
      <w:tr>
        <w:trPr>
          <w:trHeight w:val="180"/>
        </w:trPr>
        <w:tc>
          <w:tcPr>
            <w:tcW w:w="2660" w:type="dxa"/>
            <w:vAlign w:val="bottom"/>
          </w:tcPr>
          <w:p>
            <w:pPr>
              <w:spacing w:after="0"/>
              <w:rPr>
                <w:sz w:val="15"/>
                <w:szCs w:val="15"/>
                <w:color w:val="auto"/>
              </w:rPr>
            </w:pP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stock. Clearway Energy Group LLC is a leading developer of renewable energy, energy storage and power</w:t>
            </w:r>
          </w:p>
        </w:tc>
      </w:tr>
      <w:tr>
        <w:trPr>
          <w:trHeight w:val="225"/>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infrastructure in the U.S.</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Energy Operating LLC</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holder of facilities that are owned by Clearway Energy LLC</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Renew</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Clearway Renew LLC, a subsidiary of CEG, and its wholly-owned subsidiaries</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Clearway Energy, Inc., together with its consolidated subsidiaries</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CVSR</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California Valley Solar Ranch</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Daggett 1 Class B</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Daggett 1 Class B Member LLC, the indirect owner of Daggett 1</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Dan’s Mountain TargetCo</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Dan’s Mountain TargetCo LLC, a partnership and the indirect owner of Dan’s Mountain</w:t>
            </w: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Distributed Solar</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w w:val="99"/>
              </w:rPr>
              <w:t>Solar power facilities, typically less than 20 MW in size (on an alternating current, or AC, basis), that primarily sell</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produced to customers for usage on site, or are interconnected to sell power into the local distribution grid</w:t>
            </w: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Drop Down Assets</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Assets under common control acquired by the Company from CEG</w:t>
            </w: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ERCOT</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Electric Reliability Council of Texas, the ISO and the regional reliability coordinator of the various electricity</w:t>
            </w: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systems within Texas</w:t>
            </w: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Flexible Generation</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Formerly the Conventional Generation segment</w:t>
            </w:r>
          </w:p>
        </w:tc>
      </w:tr>
      <w:tr>
        <w:trPr>
          <w:trHeight w:val="864"/>
        </w:trPr>
        <w:tc>
          <w:tcPr>
            <w:tcW w:w="2660" w:type="dxa"/>
            <w:vAlign w:val="bottom"/>
          </w:tcPr>
          <w:p>
            <w:pPr>
              <w:spacing w:after="0"/>
              <w:rPr>
                <w:sz w:val="24"/>
                <w:szCs w:val="24"/>
                <w:color w:val="auto"/>
              </w:rPr>
            </w:pPr>
          </w:p>
        </w:tc>
        <w:tc>
          <w:tcPr>
            <w:tcW w:w="8580" w:type="dxa"/>
            <w:vAlign w:val="bottom"/>
          </w:tcPr>
          <w:p>
            <w:pPr>
              <w:ind w:left="2920"/>
              <w:spacing w:after="0"/>
              <w:rPr>
                <w:sz w:val="20"/>
                <w:szCs w:val="20"/>
                <w:color w:val="auto"/>
              </w:rPr>
            </w:pPr>
            <w:r>
              <w:rPr>
                <w:rFonts w:ascii="Times New Roman" w:cs="Times New Roman" w:eastAsia="Times New Roman" w:hAnsi="Times New Roman"/>
                <w:sz w:val="18"/>
                <w:szCs w:val="18"/>
                <w:color w:val="231F20"/>
              </w:rPr>
              <w:t>4</w:t>
            </w:r>
          </w:p>
        </w:tc>
      </w:tr>
      <w:tr>
        <w:trPr>
          <w:trHeight w:val="115"/>
        </w:trPr>
        <w:tc>
          <w:tcPr>
            <w:tcW w:w="2660" w:type="dxa"/>
            <w:vAlign w:val="bottom"/>
            <w:tcBorders>
              <w:bottom w:val="single" w:sz="8" w:color="9A9A9A"/>
            </w:tcBorders>
          </w:tcPr>
          <w:p>
            <w:pPr>
              <w:spacing w:after="0"/>
              <w:rPr>
                <w:sz w:val="10"/>
                <w:szCs w:val="10"/>
                <w:color w:val="auto"/>
              </w:rPr>
            </w:pPr>
          </w:p>
        </w:tc>
        <w:tc>
          <w:tcPr>
            <w:tcW w:w="8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GAAP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GenConn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GenConn Energy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Infrastructure Management, LLC, the manager of GIP and an indirect subsidiary of BlackRock</w:t>
      </w:r>
    </w:p>
    <w:p>
      <w:pPr>
        <w:spacing w:after="0" w:line="1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Global Infrastructure Partners, an infrastructure fund manager managed by GIM that makes equity and debt investments in infrastructure assets and businesses. GIM is an indirect subsidiary of BlackRock.</w:t>
      </w:r>
    </w:p>
    <w:p>
      <w:pPr>
        <w:spacing w:after="0" w:line="91" w:lineRule="exact"/>
        <w:rPr>
          <w:sz w:val="20"/>
          <w:szCs w:val="20"/>
          <w:color w:val="auto"/>
        </w:rPr>
      </w:pPr>
    </w:p>
    <w:p>
      <w:pPr>
        <w:sectPr>
          <w:pgSz w:w="11900" w:h="16838" w:orient="portrait"/>
          <w:cols w:equalWidth="0" w:num="2">
            <w:col w:w="2160" w:space="720"/>
            <w:col w:w="8320"/>
          </w:cols>
          <w:pgMar w:left="340" w:top="931" w:right="359" w:bottom="1440" w:gutter="0" w:footer="0" w:header="0"/>
        </w:sect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GW</w:t>
      </w:r>
      <w:r>
        <w:rPr>
          <w:sz w:val="20"/>
          <w:szCs w:val="20"/>
          <w:color w:val="auto"/>
        </w:rPr>
        <w:tab/>
      </w:r>
      <w:r>
        <w:rPr>
          <w:rFonts w:ascii="Times New Roman" w:cs="Times New Roman" w:eastAsia="Times New Roman" w:hAnsi="Times New Roman"/>
          <w:sz w:val="18"/>
          <w:szCs w:val="18"/>
          <w:color w:val="auto"/>
        </w:rPr>
        <w:t>Gigawatt</w:t>
      </w:r>
    </w:p>
    <w:p>
      <w:pPr>
        <w:spacing w:after="0" w:line="27"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HLBV</w:t>
      </w:r>
      <w:r>
        <w:rPr>
          <w:sz w:val="20"/>
          <w:szCs w:val="20"/>
          <w:color w:val="auto"/>
        </w:rPr>
        <w:tab/>
      </w:r>
      <w:r>
        <w:rPr>
          <w:rFonts w:ascii="Times New Roman" w:cs="Times New Roman" w:eastAsia="Times New Roman" w:hAnsi="Times New Roman"/>
          <w:sz w:val="18"/>
          <w:szCs w:val="18"/>
          <w:color w:val="auto"/>
        </w:rPr>
        <w:t>Hypothetical Liquidation at Book Value</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IRS</w:t>
      </w:r>
      <w:r>
        <w:rPr>
          <w:sz w:val="20"/>
          <w:szCs w:val="20"/>
          <w:color w:val="auto"/>
        </w:rPr>
        <w:tab/>
      </w:r>
      <w:r>
        <w:rPr>
          <w:rFonts w:ascii="Times New Roman" w:cs="Times New Roman" w:eastAsia="Times New Roman" w:hAnsi="Times New Roman"/>
          <w:sz w:val="18"/>
          <w:szCs w:val="18"/>
          <w:color w:val="auto"/>
        </w:rPr>
        <w:t>Internal Revenue Service</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ISO</w:t>
      </w:r>
      <w:r>
        <w:rPr>
          <w:sz w:val="20"/>
          <w:szCs w:val="20"/>
          <w:color w:val="auto"/>
        </w:rPr>
        <w:tab/>
      </w:r>
      <w:r>
        <w:rPr>
          <w:rFonts w:ascii="Times New Roman" w:cs="Times New Roman" w:eastAsia="Times New Roman" w:hAnsi="Times New Roman"/>
          <w:sz w:val="18"/>
          <w:szCs w:val="18"/>
          <w:color w:val="auto"/>
        </w:rPr>
        <w:t>Independent System Operator, also referred to as an RTO</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ITC</w:t>
      </w:r>
      <w:r>
        <w:rPr>
          <w:sz w:val="20"/>
          <w:szCs w:val="20"/>
          <w:color w:val="auto"/>
        </w:rPr>
        <w:tab/>
      </w:r>
      <w:r>
        <w:rPr>
          <w:rFonts w:ascii="Times New Roman" w:cs="Times New Roman" w:eastAsia="Times New Roman" w:hAnsi="Times New Roman"/>
          <w:sz w:val="18"/>
          <w:szCs w:val="18"/>
          <w:color w:val="auto"/>
        </w:rPr>
        <w:t>Investment Tax Credit</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Luna Valley Class B</w:t>
      </w:r>
      <w:r>
        <w:rPr>
          <w:sz w:val="20"/>
          <w:szCs w:val="20"/>
          <w:color w:val="auto"/>
        </w:rPr>
        <w:tab/>
      </w:r>
      <w:r>
        <w:rPr>
          <w:rFonts w:ascii="Times New Roman" w:cs="Times New Roman" w:eastAsia="Times New Roman" w:hAnsi="Times New Roman"/>
          <w:sz w:val="17"/>
          <w:szCs w:val="17"/>
          <w:color w:val="auto"/>
        </w:rPr>
        <w:t>Luna Valley Class B Member LLC, the indirect owner of Luna Valley</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MMBtu</w:t>
      </w:r>
      <w:r>
        <w:rPr>
          <w:sz w:val="20"/>
          <w:szCs w:val="20"/>
          <w:color w:val="auto"/>
        </w:rPr>
        <w:tab/>
      </w:r>
      <w:r>
        <w:rPr>
          <w:rFonts w:ascii="Times New Roman" w:cs="Times New Roman" w:eastAsia="Times New Roman" w:hAnsi="Times New Roman"/>
          <w:sz w:val="18"/>
          <w:szCs w:val="18"/>
          <w:color w:val="auto"/>
        </w:rPr>
        <w:t>Million British Thermal Units</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MW</w:t>
      </w:r>
      <w:r>
        <w:rPr>
          <w:sz w:val="20"/>
          <w:szCs w:val="20"/>
          <w:color w:val="auto"/>
        </w:rPr>
        <w:tab/>
      </w:r>
      <w:r>
        <w:rPr>
          <w:rFonts w:ascii="Times New Roman" w:cs="Times New Roman" w:eastAsia="Times New Roman" w:hAnsi="Times New Roman"/>
          <w:sz w:val="18"/>
          <w:szCs w:val="18"/>
          <w:color w:val="auto"/>
        </w:rPr>
        <w:t>Megawatt</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MWh</w:t>
      </w:r>
      <w:r>
        <w:rPr>
          <w:sz w:val="20"/>
          <w:szCs w:val="20"/>
          <w:color w:val="auto"/>
        </w:rPr>
        <w:tab/>
      </w:r>
      <w:r>
        <w:rPr>
          <w:rFonts w:ascii="Times New Roman" w:cs="Times New Roman" w:eastAsia="Times New Roman" w:hAnsi="Times New Roman"/>
          <w:sz w:val="18"/>
          <w:szCs w:val="18"/>
          <w:color w:val="auto"/>
        </w:rPr>
        <w:t>Saleable megawatt hours, net of internal/parasitic load megawatt-hours</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Net Exposure</w:t>
      </w:r>
      <w:r>
        <w:rPr>
          <w:sz w:val="20"/>
          <w:szCs w:val="20"/>
          <w:color w:val="auto"/>
        </w:rPr>
        <w:tab/>
      </w:r>
      <w:r>
        <w:rPr>
          <w:rFonts w:ascii="Times New Roman" w:cs="Times New Roman" w:eastAsia="Times New Roman" w:hAnsi="Times New Roman"/>
          <w:sz w:val="17"/>
          <w:szCs w:val="17"/>
          <w:color w:val="auto"/>
        </w:rPr>
        <w:t>Counterparty credit exposure to Clearway Energy, Inc., net of collateral</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NOLs</w:t>
      </w:r>
      <w:r>
        <w:rPr>
          <w:sz w:val="20"/>
          <w:szCs w:val="20"/>
          <w:color w:val="auto"/>
        </w:rPr>
        <w:tab/>
      </w:r>
      <w:r>
        <w:rPr>
          <w:rFonts w:ascii="Times New Roman" w:cs="Times New Roman" w:eastAsia="Times New Roman" w:hAnsi="Times New Roman"/>
          <w:sz w:val="18"/>
          <w:szCs w:val="18"/>
          <w:color w:val="auto"/>
        </w:rPr>
        <w:t>Net Operating Losses</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OCI/OCL</w:t>
      </w:r>
      <w:r>
        <w:rPr>
          <w:sz w:val="20"/>
          <w:szCs w:val="20"/>
          <w:color w:val="auto"/>
        </w:rPr>
        <w:tab/>
      </w:r>
      <w:r>
        <w:rPr>
          <w:rFonts w:ascii="Times New Roman" w:cs="Times New Roman" w:eastAsia="Times New Roman" w:hAnsi="Times New Roman"/>
          <w:sz w:val="18"/>
          <w:szCs w:val="18"/>
          <w:color w:val="auto"/>
        </w:rPr>
        <w:t>Other comprehensive income/loss</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O&amp;M</w:t>
      </w:r>
      <w:r>
        <w:rPr>
          <w:sz w:val="20"/>
          <w:szCs w:val="20"/>
          <w:color w:val="auto"/>
        </w:rPr>
        <w:tab/>
      </w:r>
      <w:r>
        <w:rPr>
          <w:rFonts w:ascii="Times New Roman" w:cs="Times New Roman" w:eastAsia="Times New Roman" w:hAnsi="Times New Roman"/>
          <w:sz w:val="18"/>
          <w:szCs w:val="18"/>
          <w:color w:val="auto"/>
        </w:rPr>
        <w:t>Operations and Maintenance</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PG&amp;E</w:t>
      </w:r>
      <w:r>
        <w:rPr>
          <w:sz w:val="20"/>
          <w:szCs w:val="20"/>
          <w:color w:val="auto"/>
        </w:rPr>
        <w:tab/>
      </w:r>
      <w:r>
        <w:rPr>
          <w:rFonts w:ascii="Times New Roman" w:cs="Times New Roman" w:eastAsia="Times New Roman" w:hAnsi="Times New Roman"/>
          <w:sz w:val="18"/>
          <w:szCs w:val="18"/>
          <w:color w:val="auto"/>
        </w:rPr>
        <w:t>Pacific Gas and Electric Company</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Pine Forest TargetCo</w:t>
      </w:r>
      <w:r>
        <w:rPr>
          <w:sz w:val="20"/>
          <w:szCs w:val="20"/>
          <w:color w:val="auto"/>
        </w:rPr>
        <w:tab/>
      </w:r>
      <w:r>
        <w:rPr>
          <w:rFonts w:ascii="Times New Roman" w:cs="Times New Roman" w:eastAsia="Times New Roman" w:hAnsi="Times New Roman"/>
          <w:sz w:val="17"/>
          <w:szCs w:val="17"/>
          <w:color w:val="auto"/>
        </w:rPr>
        <w:t>Pine Forest CE TargetCo LLC, a partnership and the indirect owner of Pine Forest</w:t>
      </w:r>
    </w:p>
    <w:p>
      <w:pPr>
        <w:spacing w:after="0" w:line="6"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Pine Forest TE Class A</w:t>
      </w:r>
      <w:r>
        <w:rPr>
          <w:sz w:val="20"/>
          <w:szCs w:val="20"/>
          <w:color w:val="auto"/>
        </w:rPr>
        <w:tab/>
      </w:r>
      <w:r>
        <w:rPr>
          <w:rFonts w:ascii="Times New Roman" w:cs="Times New Roman" w:eastAsia="Times New Roman" w:hAnsi="Times New Roman"/>
          <w:sz w:val="18"/>
          <w:szCs w:val="18"/>
          <w:color w:val="auto"/>
        </w:rPr>
        <w:t>Pine Forest TE Class A Owner LLC, a consolidated subsidiary of Clearway Energy Finance Inc. and an indirect</w:t>
      </w:r>
    </w:p>
    <w:p>
      <w:pPr>
        <w:ind w:left="2880"/>
        <w:spacing w:after="0"/>
        <w:rPr>
          <w:sz w:val="20"/>
          <w:szCs w:val="20"/>
          <w:color w:val="auto"/>
        </w:rPr>
      </w:pPr>
      <w:r>
        <w:rPr>
          <w:rFonts w:ascii="Times New Roman" w:cs="Times New Roman" w:eastAsia="Times New Roman" w:hAnsi="Times New Roman"/>
          <w:sz w:val="18"/>
          <w:szCs w:val="18"/>
          <w:color w:val="auto"/>
        </w:rPr>
        <w:t>subsidiary of the Company</w:t>
      </w:r>
    </w:p>
    <w:p>
      <w:pPr>
        <w:spacing w:after="0" w:line="16"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PJM</w:t>
      </w:r>
      <w:r>
        <w:rPr>
          <w:sz w:val="20"/>
          <w:szCs w:val="20"/>
          <w:color w:val="auto"/>
        </w:rPr>
        <w:tab/>
      </w:r>
      <w:r>
        <w:rPr>
          <w:rFonts w:ascii="Times New Roman" w:cs="Times New Roman" w:eastAsia="Times New Roman" w:hAnsi="Times New Roman"/>
          <w:sz w:val="18"/>
          <w:szCs w:val="18"/>
          <w:color w:val="auto"/>
        </w:rPr>
        <w:t>PJM Interconnection, LLC</w:t>
      </w:r>
    </w:p>
    <w:p>
      <w:pPr>
        <w:spacing w:after="0" w:line="27"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PPA</w:t>
      </w:r>
      <w:r>
        <w:rPr>
          <w:sz w:val="20"/>
          <w:szCs w:val="20"/>
          <w:color w:val="auto"/>
        </w:rPr>
        <w:tab/>
      </w:r>
      <w:r>
        <w:rPr>
          <w:rFonts w:ascii="Times New Roman" w:cs="Times New Roman" w:eastAsia="Times New Roman" w:hAnsi="Times New Roman"/>
          <w:sz w:val="18"/>
          <w:szCs w:val="18"/>
          <w:color w:val="auto"/>
        </w:rPr>
        <w:t>Power Purchase Agreement</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PTC</w:t>
      </w:r>
      <w:r>
        <w:rPr>
          <w:sz w:val="20"/>
          <w:szCs w:val="20"/>
          <w:color w:val="auto"/>
        </w:rPr>
        <w:tab/>
      </w:r>
      <w:r>
        <w:rPr>
          <w:rFonts w:ascii="Times New Roman" w:cs="Times New Roman" w:eastAsia="Times New Roman" w:hAnsi="Times New Roman"/>
          <w:sz w:val="18"/>
          <w:szCs w:val="18"/>
          <w:color w:val="auto"/>
        </w:rPr>
        <w:t>Production Tax Credit</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RA</w:t>
      </w:r>
      <w:r>
        <w:rPr>
          <w:sz w:val="20"/>
          <w:szCs w:val="20"/>
          <w:color w:val="auto"/>
        </w:rPr>
        <w:tab/>
      </w:r>
      <w:r>
        <w:rPr>
          <w:rFonts w:ascii="Times New Roman" w:cs="Times New Roman" w:eastAsia="Times New Roman" w:hAnsi="Times New Roman"/>
          <w:sz w:val="18"/>
          <w:szCs w:val="18"/>
          <w:color w:val="auto"/>
        </w:rPr>
        <w:t>Resource adequacy</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Renewables &amp; Storage</w:t>
      </w:r>
      <w:r>
        <w:rPr>
          <w:sz w:val="20"/>
          <w:szCs w:val="20"/>
          <w:color w:val="auto"/>
        </w:rPr>
        <w:tab/>
      </w:r>
      <w:r>
        <w:rPr>
          <w:rFonts w:ascii="Times New Roman" w:cs="Times New Roman" w:eastAsia="Times New Roman" w:hAnsi="Times New Roman"/>
          <w:sz w:val="18"/>
          <w:szCs w:val="18"/>
          <w:color w:val="auto"/>
        </w:rPr>
        <w:t>Formerly the Renewables segment</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RENOM</w:t>
      </w:r>
      <w:r>
        <w:rPr>
          <w:sz w:val="20"/>
          <w:szCs w:val="20"/>
          <w:color w:val="auto"/>
        </w:rPr>
        <w:tab/>
      </w:r>
      <w:r>
        <w:rPr>
          <w:rFonts w:ascii="Times New Roman" w:cs="Times New Roman" w:eastAsia="Times New Roman" w:hAnsi="Times New Roman"/>
          <w:sz w:val="18"/>
          <w:szCs w:val="18"/>
          <w:color w:val="auto"/>
        </w:rPr>
        <w:t>Clearway Renewable Operation &amp; Maintenance LLC, a wholly-owned subsidiary of CEG</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Rosie South TargetCo</w:t>
      </w:r>
      <w:r>
        <w:rPr>
          <w:sz w:val="20"/>
          <w:szCs w:val="20"/>
          <w:color w:val="auto"/>
        </w:rPr>
        <w:tab/>
      </w:r>
      <w:r>
        <w:rPr>
          <w:rFonts w:ascii="Times New Roman" w:cs="Times New Roman" w:eastAsia="Times New Roman" w:hAnsi="Times New Roman"/>
          <w:sz w:val="17"/>
          <w:szCs w:val="17"/>
          <w:color w:val="auto"/>
        </w:rPr>
        <w:t>Rosie South TargetCo LLC, a partnership and the indirect owner of Rosamond South I</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RTO</w:t>
      </w:r>
      <w:r>
        <w:rPr>
          <w:sz w:val="20"/>
          <w:szCs w:val="20"/>
          <w:color w:val="auto"/>
        </w:rPr>
        <w:tab/>
      </w:r>
      <w:r>
        <w:rPr>
          <w:rFonts w:ascii="Times New Roman" w:cs="Times New Roman" w:eastAsia="Times New Roman" w:hAnsi="Times New Roman"/>
          <w:sz w:val="18"/>
          <w:szCs w:val="18"/>
          <w:color w:val="auto"/>
        </w:rPr>
        <w:t>Regional Transmission Organization</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SCE</w:t>
      </w:r>
      <w:r>
        <w:rPr>
          <w:sz w:val="20"/>
          <w:szCs w:val="20"/>
          <w:color w:val="auto"/>
        </w:rPr>
        <w:tab/>
      </w:r>
      <w:r>
        <w:rPr>
          <w:rFonts w:ascii="Times New Roman" w:cs="Times New Roman" w:eastAsia="Times New Roman" w:hAnsi="Times New Roman"/>
          <w:sz w:val="18"/>
          <w:szCs w:val="18"/>
          <w:color w:val="auto"/>
        </w:rPr>
        <w:t>Southern California Edison</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SDG&amp;E</w:t>
      </w:r>
      <w:r>
        <w:rPr>
          <w:sz w:val="20"/>
          <w:szCs w:val="20"/>
          <w:color w:val="auto"/>
        </w:rPr>
        <w:tab/>
      </w:r>
      <w:r>
        <w:rPr>
          <w:rFonts w:ascii="Times New Roman" w:cs="Times New Roman" w:eastAsia="Times New Roman" w:hAnsi="Times New Roman"/>
          <w:sz w:val="18"/>
          <w:szCs w:val="18"/>
          <w:color w:val="auto"/>
        </w:rPr>
        <w:t>San Diego Gas &amp; Electric</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SEC</w:t>
      </w:r>
      <w:r>
        <w:rPr>
          <w:sz w:val="20"/>
          <w:szCs w:val="20"/>
          <w:color w:val="auto"/>
        </w:rPr>
        <w:tab/>
      </w:r>
      <w:r>
        <w:rPr>
          <w:rFonts w:ascii="Times New Roman" w:cs="Times New Roman" w:eastAsia="Times New Roman" w:hAnsi="Times New Roman"/>
          <w:sz w:val="18"/>
          <w:szCs w:val="18"/>
          <w:color w:val="auto"/>
        </w:rPr>
        <w:t>U.S. Securities and Exchange Commission</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Senior Notes</w:t>
      </w:r>
      <w:r>
        <w:rPr>
          <w:sz w:val="20"/>
          <w:szCs w:val="20"/>
          <w:color w:val="auto"/>
        </w:rPr>
        <w:tab/>
      </w:r>
      <w:r>
        <w:rPr>
          <w:rFonts w:ascii="Times New Roman" w:cs="Times New Roman" w:eastAsia="Times New Roman" w:hAnsi="Times New Roman"/>
          <w:sz w:val="17"/>
          <w:szCs w:val="17"/>
          <w:color w:val="auto"/>
        </w:rPr>
        <w:t>Collectively, the 2028 Senior Notes, the 2031 Senior Notes and the 2032 Senior Notes</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SOFR</w:t>
      </w:r>
      <w:r>
        <w:rPr>
          <w:sz w:val="20"/>
          <w:szCs w:val="20"/>
          <w:color w:val="auto"/>
        </w:rPr>
        <w:tab/>
      </w:r>
      <w:r>
        <w:rPr>
          <w:rFonts w:ascii="Times New Roman" w:cs="Times New Roman" w:eastAsia="Times New Roman" w:hAnsi="Times New Roman"/>
          <w:sz w:val="18"/>
          <w:szCs w:val="18"/>
          <w:color w:val="auto"/>
        </w:rPr>
        <w:t>Secured Overnight Financing Rate</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SPP</w:t>
      </w:r>
      <w:r>
        <w:rPr>
          <w:sz w:val="20"/>
          <w:szCs w:val="20"/>
          <w:color w:val="auto"/>
        </w:rPr>
        <w:tab/>
      </w:r>
      <w:r>
        <w:rPr>
          <w:rFonts w:ascii="Times New Roman" w:cs="Times New Roman" w:eastAsia="Times New Roman" w:hAnsi="Times New Roman"/>
          <w:sz w:val="18"/>
          <w:szCs w:val="18"/>
          <w:color w:val="auto"/>
        </w:rPr>
        <w:t>Solar Power Partners</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SREC</w:t>
      </w:r>
      <w:r>
        <w:rPr>
          <w:sz w:val="20"/>
          <w:szCs w:val="20"/>
          <w:color w:val="auto"/>
        </w:rPr>
        <w:tab/>
      </w:r>
      <w:r>
        <w:rPr>
          <w:rFonts w:ascii="Times New Roman" w:cs="Times New Roman" w:eastAsia="Times New Roman" w:hAnsi="Times New Roman"/>
          <w:sz w:val="18"/>
          <w:szCs w:val="18"/>
          <w:color w:val="auto"/>
        </w:rPr>
        <w:t>Solar Renewable Energy Credit</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TotalEnergies</w:t>
      </w:r>
      <w:r>
        <w:rPr>
          <w:sz w:val="20"/>
          <w:szCs w:val="20"/>
          <w:color w:val="auto"/>
        </w:rPr>
        <w:tab/>
      </w:r>
      <w:r>
        <w:rPr>
          <w:rFonts w:ascii="Times New Roman" w:cs="Times New Roman" w:eastAsia="Times New Roman" w:hAnsi="Times New Roman"/>
          <w:sz w:val="18"/>
          <w:szCs w:val="18"/>
          <w:color w:val="auto"/>
        </w:rPr>
        <w:t>TotalEnergies SE, a global multi-energy company</w:t>
      </w:r>
    </w:p>
    <w:p>
      <w:pPr>
        <w:spacing w:after="0" w:line="2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8"/>
          <w:szCs w:val="18"/>
          <w:color w:val="auto"/>
        </w:rPr>
        <w:t>United States of America</w:t>
      </w:r>
    </w:p>
    <w:p>
      <w:pPr>
        <w:spacing w:after="0" w:line="6"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Utility Scale Solar</w:t>
      </w:r>
      <w:r>
        <w:rPr>
          <w:sz w:val="20"/>
          <w:szCs w:val="20"/>
          <w:color w:val="auto"/>
        </w:rPr>
        <w:tab/>
      </w:r>
      <w:r>
        <w:rPr>
          <w:rFonts w:ascii="Times New Roman" w:cs="Times New Roman" w:eastAsia="Times New Roman" w:hAnsi="Times New Roman"/>
          <w:sz w:val="18"/>
          <w:szCs w:val="18"/>
          <w:color w:val="auto"/>
        </w:rPr>
        <w:t>Solar power facilities, typically 20 MW or greater in size (on an alternating current, or AC, basis), that are</w:t>
      </w:r>
    </w:p>
    <w:p>
      <w:pPr>
        <w:ind w:left="2880"/>
        <w:spacing w:after="0"/>
        <w:rPr>
          <w:sz w:val="20"/>
          <w:szCs w:val="20"/>
          <w:color w:val="auto"/>
        </w:rPr>
      </w:pPr>
      <w:r>
        <w:rPr>
          <w:rFonts w:ascii="Times New Roman" w:cs="Times New Roman" w:eastAsia="Times New Roman" w:hAnsi="Times New Roman"/>
          <w:sz w:val="18"/>
          <w:szCs w:val="18"/>
          <w:color w:val="auto"/>
        </w:rPr>
        <w:t>interconnected into the transmission or distribution grid to sell power at a wholesale level</w:t>
      </w:r>
    </w:p>
    <w:p>
      <w:pPr>
        <w:spacing w:after="0" w:line="16"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VIE</w:t>
      </w:r>
      <w:r>
        <w:rPr>
          <w:sz w:val="20"/>
          <w:szCs w:val="20"/>
          <w:color w:val="auto"/>
        </w:rPr>
        <w:tab/>
      </w:r>
      <w:r>
        <w:rPr>
          <w:rFonts w:ascii="Times New Roman" w:cs="Times New Roman" w:eastAsia="Times New Roman" w:hAnsi="Times New Roman"/>
          <w:sz w:val="18"/>
          <w:szCs w:val="18"/>
          <w:color w:val="auto"/>
        </w:rPr>
        <w:t>Variable Interest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type w:val="continuous"/>
        </w:sectPr>
      </w:pPr>
    </w:p>
    <w:bookmarkStart w:id="5" w:name="page6"/>
    <w:bookmarkEnd w:id="5"/>
    <w:p>
      <w:pPr>
        <w:ind w:left="40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shown separately below</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55"/>
        </w:trPr>
        <w:tc>
          <w:tcPr>
            <w:tcW w:w="546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Less: Net loss attributable to noncontrolling interests and redeemable</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Inc.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Earnings Per Share Attributable to Clearway Energy, Inc. Class A</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and Class C Common Stockholders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87" w:right="339" w:bottom="1440" w:gutter="0" w:footer="0" w:header="0"/>
        </w:sectPr>
      </w:pPr>
    </w:p>
    <w:p>
      <w:pPr>
        <w:ind w:left="300" w:right="460" w:hanging="161"/>
        <w:spacing w:after="0" w:line="234" w:lineRule="auto"/>
        <w:rPr>
          <w:sz w:val="20"/>
          <w:szCs w:val="20"/>
          <w:color w:val="auto"/>
        </w:rPr>
      </w:pPr>
      <w:r>
        <w:rPr>
          <w:rFonts w:ascii="Times New Roman" w:cs="Times New Roman" w:eastAsia="Times New Roman" w:hAnsi="Times New Roman"/>
          <w:sz w:val="18"/>
          <w:szCs w:val="18"/>
          <w:color w:val="auto"/>
        </w:rPr>
        <w:t>Weighted average number of Class A common shares outstanding - basic and diluted</w:t>
      </w:r>
    </w:p>
    <w:p>
      <w:pPr>
        <w:spacing w:after="0" w:line="10" w:lineRule="exact"/>
        <w:rPr>
          <w:sz w:val="20"/>
          <w:szCs w:val="20"/>
          <w:color w:val="auto"/>
        </w:rPr>
      </w:pPr>
    </w:p>
    <w:p>
      <w:pPr>
        <w:ind w:left="300" w:right="460" w:hanging="161"/>
        <w:spacing w:after="0" w:line="237" w:lineRule="auto"/>
        <w:rPr>
          <w:sz w:val="20"/>
          <w:szCs w:val="20"/>
          <w:color w:val="auto"/>
        </w:rPr>
      </w:pPr>
      <w:r>
        <w:rPr>
          <w:rFonts w:ascii="Times New Roman" w:cs="Times New Roman" w:eastAsia="Times New Roman" w:hAnsi="Times New Roman"/>
          <w:sz w:val="18"/>
          <w:szCs w:val="18"/>
          <w:color w:val="auto"/>
        </w:rPr>
        <w:t>Weighted average number of Class C common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35</w:t>
            </w: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35</w:t>
            </w: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8"/>
        </w:trPr>
        <w:tc>
          <w:tcPr>
            <w:tcW w:w="8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83</w:t>
            </w: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82</w:t>
            </w: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1" w:lineRule="exact"/>
        <w:rPr>
          <w:sz w:val="20"/>
          <w:szCs w:val="20"/>
          <w:color w:val="auto"/>
        </w:rPr>
      </w:pPr>
    </w:p>
    <w:p>
      <w:pPr>
        <w:sectPr>
          <w:pgSz w:w="11900" w:h="16838" w:orient="portrait"/>
          <w:cols w:equalWidth="0" w:num="2">
            <w:col w:w="5860" w:space="720"/>
            <w:col w:w="466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54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w w:val="99"/>
              </w:rPr>
              <w:t>Earnings Per Weighted Average Class A and Class C Common Share -</w:t>
            </w:r>
          </w:p>
        </w:tc>
        <w:tc>
          <w:tcPr>
            <w:tcW w:w="4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A Common Share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0.8135</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4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Dividends Per Class C Common Share</w:t>
            </w: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0.4384</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0.4102</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0.8696</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0.8135</w:t>
            </w:r>
          </w:p>
        </w:tc>
      </w:tr>
      <w:tr>
        <w:trPr>
          <w:trHeight w:val="20"/>
        </w:trPr>
        <w:tc>
          <w:tcPr>
            <w:tcW w:w="5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242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(loss) gain on derivatives and changes in accumulated OCI,</w:t>
            </w: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of income tax benefit of $(4), $—, $(5) and $—</w:t>
            </w:r>
          </w:p>
        </w:tc>
        <w:tc>
          <w:tcPr>
            <w:tcW w:w="9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176"/>
        </w:trPr>
        <w:tc>
          <w:tcPr>
            <w:tcW w:w="54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Comprehensive loss attributable to noncontrolling interests and</w:t>
            </w: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9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Clearway Energy, Inc.</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shares)</w:t>
            </w: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880" w:type="dxa"/>
            <w:vAlign w:val="bottom"/>
            <w:vMerge w:val="restart"/>
          </w:tcPr>
          <w:p>
            <w:pPr>
              <w:ind w:left="3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8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 affiliates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3"/>
        </w:trPr>
        <w:tc>
          <w:tcPr>
            <w:tcW w:w="7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9,944</w:t>
            </w:r>
          </w:p>
        </w:tc>
        <w:tc>
          <w:tcPr>
            <w:tcW w:w="0" w:type="dxa"/>
            <w:vAlign w:val="bottom"/>
          </w:tcPr>
          <w:p>
            <w:pPr>
              <w:spacing w:after="0"/>
              <w:rPr>
                <w:sz w:val="1"/>
                <w:szCs w:val="1"/>
                <w:color w:val="auto"/>
              </w:rPr>
            </w:pPr>
          </w:p>
        </w:tc>
      </w:tr>
      <w:tr>
        <w:trPr>
          <w:trHeight w:val="19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 for power purchase agreements,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0" w:type="dxa"/>
            <w:vAlign w:val="bottom"/>
          </w:tcPr>
          <w:p>
            <w:pPr>
              <w:spacing w:after="0"/>
              <w:rPr>
                <w:sz w:val="1"/>
                <w:szCs w:val="1"/>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3"/>
        </w:trPr>
        <w:tc>
          <w:tcPr>
            <w:tcW w:w="7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Right-of-use assets,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assets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14,329</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1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 trade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 affiliates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19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13"/>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8,047</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8,765</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Redeemable noncontrolling interest in subsidiaries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w:t>
            </w: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8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Class A, Class B, Class C and Class D common stock, $0.01 par value; 3,000,000,000 shares authorized (Class A</w:t>
            </w: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500,000,000, Class B 500,000,000, Class C 1,000,000,000, Class D 1,000,000,000); 202,185,894 shares issued and</w:t>
            </w: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outstanding (Class A 34,613,853, Class B 42,738,750, Class C 83,257,149, Class D 41,576,142) at June 30, 2025 and</w:t>
            </w: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202,147,579 shares issued and outstanding (Class A 34,613,853, Class B 42,738,750, Class C 82,833,226, Class D</w:t>
            </w:r>
          </w:p>
        </w:tc>
        <w:tc>
          <w:tcPr>
            <w:tcW w:w="2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41,961,750) at December 31, 2024</w:t>
            </w:r>
          </w:p>
        </w:tc>
        <w:tc>
          <w:tcPr>
            <w:tcW w:w="2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3"/>
        </w:trPr>
        <w:tc>
          <w:tcPr>
            <w:tcW w:w="7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w:t>
            </w:r>
          </w:p>
        </w:tc>
        <w:tc>
          <w:tcPr>
            <w:tcW w:w="0" w:type="dxa"/>
            <w:vAlign w:val="bottom"/>
          </w:tcPr>
          <w:p>
            <w:pPr>
              <w:spacing w:after="0"/>
              <w:rPr>
                <w:sz w:val="1"/>
                <w:szCs w:val="1"/>
                <w:color w:val="auto"/>
              </w:rPr>
            </w:pPr>
          </w:p>
        </w:tc>
      </w:tr>
      <w:tr>
        <w:trPr>
          <w:trHeight w:val="207"/>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5,564</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14,329</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140"/>
          </w:cols>
          <w:pgMar w:left="320" w:top="88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 in carrying amount of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deferred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derivative instruments and amortization of accumulated OCI</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other working capital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Drop Down Assets, net of cash acquired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 in note receivable - affiliate</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from noncontrolling interests, net of distributions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dividends and distributions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Pro-rata distributions to CEG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revolving credit facility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for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1"/>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8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1"/>
                <w:szCs w:val="11"/>
                <w:color w:val="auto"/>
              </w:rPr>
            </w:pPr>
          </w:p>
        </w:tc>
        <w:tc>
          <w:tcPr>
            <w:tcW w:w="92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Income (Loss)</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4"/>
                <w:szCs w:val="14"/>
                <w:color w:val="auto"/>
              </w:rPr>
            </w:pPr>
          </w:p>
        </w:tc>
        <w:tc>
          <w:tcPr>
            <w:tcW w:w="92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4"/>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5,564</w:t>
            </w: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Unrealized loss on derivatives and changes in</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OCI, net of tax</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 interests, net of</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cash</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to noncontrolling interests, non-cash</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adjustments for change in tax basis</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2"/>
        </w:trPr>
        <w:tc>
          <w:tcPr>
            <w:tcW w:w="39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dividends and distributions to CEG unit</w:t>
            </w:r>
          </w:p>
        </w:tc>
        <w:tc>
          <w:tcPr>
            <w:tcW w:w="120" w:type="dxa"/>
            <w:vAlign w:val="bottom"/>
          </w:tcPr>
          <w:p>
            <w:pPr>
              <w:spacing w:after="0"/>
              <w:rPr>
                <w:sz w:val="14"/>
                <w:szCs w:val="14"/>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holders</w:t>
            </w: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1,735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5,420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62"/>
        </w:trPr>
        <w:tc>
          <w:tcPr>
            <w:tcW w:w="39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Unrealized loss on derivatives and changes in</w:t>
            </w:r>
          </w:p>
        </w:tc>
        <w:tc>
          <w:tcPr>
            <w:tcW w:w="120" w:type="dxa"/>
            <w:vAlign w:val="bottom"/>
          </w:tcPr>
          <w:p>
            <w:pPr>
              <w:spacing w:after="0"/>
              <w:rPr>
                <w:sz w:val="14"/>
                <w:szCs w:val="14"/>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OCI, net of tax</w:t>
            </w: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Contributions from CEG, net of distributions, cash</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62"/>
        </w:trPr>
        <w:tc>
          <w:tcPr>
            <w:tcW w:w="39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Contributions from noncontrolling interests, net of</w:t>
            </w:r>
          </w:p>
        </w:tc>
        <w:tc>
          <w:tcPr>
            <w:tcW w:w="120" w:type="dxa"/>
            <w:vAlign w:val="bottom"/>
          </w:tcPr>
          <w:p>
            <w:pPr>
              <w:spacing w:after="0"/>
              <w:rPr>
                <w:sz w:val="14"/>
                <w:szCs w:val="14"/>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cash</w:t>
            </w: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Pro-rata distributions to CEG, cash</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adjustments for change in tax basis</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dividends and distributions to CEG unit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holders</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5,542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8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1"/>
                <w:szCs w:val="11"/>
                <w:color w:val="auto"/>
              </w:rPr>
            </w:pPr>
          </w:p>
        </w:tc>
        <w:tc>
          <w:tcPr>
            <w:tcW w:w="92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4"/>
                <w:szCs w:val="14"/>
                <w:color w:val="auto"/>
              </w:rPr>
            </w:pPr>
          </w:p>
        </w:tc>
        <w:tc>
          <w:tcPr>
            <w:tcW w:w="92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4"/>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1,732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4,994</w:t>
            </w: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Unrealized (loss) gain on derivatives and changes in</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OCI, net of tax</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 interests, net of</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cash</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adjustments for change in tax basis</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dividends and distributions to CEG unit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holders</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5,045</w:t>
            </w: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Unrealized gain on derivatives and changes in</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OCI, net of tax</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Contributions from CEG, net of distributions, cash</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 interest, net of</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cash</w:t>
            </w: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Distributions to noncontrolling interests, net of</w:t>
            </w:r>
          </w:p>
        </w:tc>
        <w:tc>
          <w:tcPr>
            <w:tcW w:w="120" w:type="dxa"/>
            <w:vAlign w:val="bottom"/>
          </w:tcPr>
          <w:p>
            <w:pPr>
              <w:spacing w:after="0"/>
              <w:rPr>
                <w:sz w:val="14"/>
                <w:szCs w:val="14"/>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contributions, non-cash</w:t>
            </w: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adjustment for change in tax basis</w:t>
            </w:r>
          </w:p>
        </w:tc>
        <w:tc>
          <w:tcPr>
            <w:tcW w:w="12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2"/>
        </w:trPr>
        <w:tc>
          <w:tcPr>
            <w:tcW w:w="39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dividends and distributions to CEG unit</w:t>
            </w:r>
          </w:p>
        </w:tc>
        <w:tc>
          <w:tcPr>
            <w:tcW w:w="120" w:type="dxa"/>
            <w:vAlign w:val="bottom"/>
          </w:tcPr>
          <w:p>
            <w:pPr>
              <w:spacing w:after="0"/>
              <w:rPr>
                <w:sz w:val="14"/>
                <w:szCs w:val="14"/>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3"/>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holders</w:t>
            </w: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1,830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5,711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w:t>
      </w:r>
      <w:r>
        <w:rPr>
          <w:rFonts w:ascii="Times New Roman" w:cs="Times New Roman" w:eastAsia="Times New Roman" w:hAnsi="Times New Roman"/>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 which is equally owned by GIP and TotalEnergies.</w:t>
      </w:r>
    </w:p>
    <w:p>
      <w:pPr>
        <w:spacing w:after="0" w:line="12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Company is one of the largest owners of clean energy generation assets in the U.S. The Company’s portfolio comprises approximately 12 GW of gross capacity in 27 states, including approximately 9.2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8"/>
          <w:szCs w:val="18"/>
          <w:color w:val="231F20"/>
        </w:rPr>
        <w:t>The majority</w:t>
      </w:r>
      <w:r>
        <w:rPr>
          <w:rFonts w:ascii="Times New Roman" w:cs="Times New Roman" w:eastAsia="Times New Roman" w:hAnsi="Times New Roman"/>
          <w:sz w:val="18"/>
          <w:szCs w:val="18"/>
          <w:color w:val="auto"/>
        </w:rPr>
        <w:t xml:space="preserve"> of the Company’s revenues are derived from long-term contractual arrangements for the output or capacity from these assets.</w:t>
      </w:r>
    </w:p>
    <w:p>
      <w:pPr>
        <w:spacing w:after="0" w:line="13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w:t>
      </w:r>
      <w:r>
        <w:rPr>
          <w:rFonts w:ascii="Times New Roman" w:cs="Times New Roman" w:eastAsia="Times New Roman" w:hAnsi="Times New Roman"/>
          <w:sz w:val="18"/>
          <w:szCs w:val="18"/>
          <w:color w:val="000000"/>
        </w:rPr>
        <w:t>From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time to time, CEG may also hold shares of the Company’s Class A and/or Class C common stock.</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June 30, 2025, the Company owned 58.30% of the economic interests of Clearway Energy LLC, with CEG owning 41.70% of the economic interests of Clearway Energy LLC.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ind w:left="420"/>
        <w:spacing w:after="0"/>
        <w:rPr>
          <w:sz w:val="20"/>
          <w:szCs w:val="20"/>
          <w:color w:val="auto"/>
        </w:rPr>
      </w:pPr>
      <w:r>
        <w:rPr>
          <w:rFonts w:ascii="Times New Roman" w:cs="Times New Roman" w:eastAsia="Times New Roman" w:hAnsi="Times New Roman"/>
          <w:sz w:val="18"/>
          <w:szCs w:val="18"/>
          <w:color w:val="auto"/>
        </w:rPr>
        <w:t>The following table represents a summarized structure of the Company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5863590" cy="4320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3590" cy="432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2024 Form 10-K. Interim results are not necessarily indicative of results for a full year.</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material adjustments consisting of normal and recurring accruals necessary for a fair statement of the Company’s consolidated financial position as of June 30, 2025, and results of operations, comprehensive income and cash flows for the three and six months ended June 30, 2025 and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w:t>
      </w:r>
      <w:r>
        <w:rPr>
          <w:rFonts w:ascii="Times New Roman" w:cs="Times New Roman" w:eastAsia="Times New Roman" w:hAnsi="Times New Roman"/>
          <w:sz w:val="18"/>
          <w:szCs w:val="18"/>
          <w:b w:val="1"/>
          <w:bCs w:val="1"/>
          <w:i w:val="1"/>
          <w:i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an original maturity of three months or less at the time of purchase. Cash and cash equivalents held at subsidiary facilities was $214 million and $194 million as of June 30, 2025 and December 31, 2024, respectively.</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7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gridSpan w:val="3"/>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r>
      <w:tr>
        <w:trPr>
          <w:trHeight w:val="27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7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shown in the consolidated statements of cash flows</w:t>
            </w:r>
          </w:p>
        </w:tc>
        <w:tc>
          <w:tcPr>
            <w:tcW w:w="1460" w:type="dxa"/>
            <w:vAlign w:val="bottom"/>
            <w:tcBorders>
              <w:bottom w:val="single" w:sz="8" w:color="auto"/>
            </w:tcBorders>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Restricted cash consists primarily of funds held to satisfy the requirements of certain debt agreements and funds held within the Company’s facilities that are restricted in their use. As of June 30, 2025, these restricted funds were comprised of $112 million designated to fund operating expenses, $176 million designated for current debt service payments and $83 million restricted for reserves including debt service, performance obligations and other reserves as well as capital expenditures. The remaining $155 million is held in distributions reserve accounts.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Depreciation and Accumulated Amortization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accumulated depreciation included in property, plant and equipment, net, and accumulated amortization included in intangible assets, net: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gridSpan w:val="3"/>
          </w:tcPr>
          <w:p>
            <w:pPr>
              <w:jc w:val="right"/>
              <w:ind w:right="141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Accumulated Depreciation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4,398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Accumulated Amortization</w:t>
            </w:r>
          </w:p>
        </w:tc>
        <w:tc>
          <w:tcPr>
            <w:tcW w:w="300" w:type="dxa"/>
            <w:vAlign w:val="bottom"/>
          </w:tcPr>
          <w:p>
            <w:pPr>
              <w:spacing w:after="0"/>
              <w:rPr>
                <w:sz w:val="20"/>
                <w:szCs w:val="20"/>
                <w:color w:val="auto"/>
              </w:rPr>
            </w:pPr>
          </w:p>
        </w:tc>
        <w:tc>
          <w:tcPr>
            <w:tcW w:w="1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1,283</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to Class A and Class C Common Stockholders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dividends paid on the Company's Class A and Class C common stock during the six months ended June 30, 2025: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Second Quarter 2025</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 2025</w:t>
            </w:r>
          </w:p>
        </w:tc>
      </w:tr>
      <w:tr>
        <w:trPr>
          <w:trHeight w:val="23"/>
        </w:trPr>
        <w:tc>
          <w:tcPr>
            <w:tcW w:w="84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Class A share</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0.4312</w:t>
            </w:r>
          </w:p>
        </w:tc>
      </w:tr>
      <w:tr>
        <w:trPr>
          <w:trHeight w:val="234"/>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per Class C share</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0.4384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0.4312</w:t>
            </w:r>
          </w:p>
        </w:tc>
      </w:tr>
    </w:tbl>
    <w:p>
      <w:pPr>
        <w:spacing w:after="0" w:line="23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August 4, 2025, the Company declared quarterly dividends on its Class A and Class C common stock of $0.4456 per share payable on September 16, 2025 to stockholders of record as of September 2,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Clearway Energy LLC Distributions to CEG</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distributions paid to CEG during the six months ended June 30, 2025 on Clearway Energy LLC’s Class B and D units: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Second Quarter 2025</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 2025</w:t>
            </w:r>
          </w:p>
        </w:tc>
      </w:tr>
      <w:tr>
        <w:trPr>
          <w:trHeight w:val="23"/>
        </w:trPr>
        <w:tc>
          <w:tcPr>
            <w:tcW w:w="84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Class B Unit</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0.4312</w:t>
            </w:r>
          </w:p>
        </w:tc>
      </w:tr>
      <w:tr>
        <w:trPr>
          <w:trHeight w:val="234"/>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per Class D Unit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0.4384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0.4312</w:t>
            </w: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addition to the quarterly distributions paid to CEG, on June 10, 2025, Clearway Energy LLC distributed an additional $7 million to CEG, which represents CEG’s pro-rata share of distributions related to the Company’s $9 million contribution through Pine Forest TE Class A Owner LLC, or Pine Forest TE Class A, an indirect subsidiary of the Company, to acquire the Class A membership interests in Pine Forest TE HoldCo LLC, as further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On August 4, 2025, Clearway Energy LLC declared a distribution on its Class B and Class D units of $0.4456 per unit payable on September 16, 2025 to unit holders of record as of September 2,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contributions from redeemable noncontrolling interests</w:t>
            </w:r>
          </w:p>
        </w:tc>
        <w:tc>
          <w:tcPr>
            <w:tcW w:w="4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distributions to redeemable noncontrolling interests</w:t>
            </w:r>
          </w:p>
        </w:tc>
        <w:tc>
          <w:tcPr>
            <w:tcW w:w="4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Comprehensive loss attributable to redeemable noncontrolling interests</w:t>
            </w:r>
          </w:p>
        </w:tc>
        <w:tc>
          <w:tcPr>
            <w:tcW w:w="4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along with the reportable segment for each category: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gridSpan w:val="6"/>
          </w:tcPr>
          <w:p>
            <w:pPr>
              <w:jc w:val="center"/>
              <w:ind w:left="933"/>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400" w:type="dxa"/>
            <w:vAlign w:val="bottom"/>
          </w:tcPr>
          <w:p>
            <w:pPr>
              <w:spacing w:after="0"/>
              <w:rPr>
                <w:sz w:val="16"/>
                <w:szCs w:val="16"/>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97"/>
        </w:trPr>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33333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333</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31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Lease revenue</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4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0" w:hanging="151"/>
        <w:spacing w:after="0"/>
        <w:tabs>
          <w:tab w:leader="none" w:pos="24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revenues relate to leases and are accounted for under ASC 842: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Capacity revenue</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8"/>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gridSpan w:val="6"/>
          </w:tcPr>
          <w:p>
            <w:pPr>
              <w:jc w:val="center"/>
              <w:ind w:left="933"/>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400" w:type="dxa"/>
            <w:vAlign w:val="bottom"/>
          </w:tcPr>
          <w:p>
            <w:pPr>
              <w:spacing w:after="0"/>
              <w:rPr>
                <w:sz w:val="16"/>
                <w:szCs w:val="16"/>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97"/>
        </w:trPr>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333333"/>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344</w:t>
            </w:r>
          </w:p>
        </w:tc>
        <w:tc>
          <w:tcPr>
            <w:tcW w:w="0" w:type="dxa"/>
            <w:vAlign w:val="bottom"/>
          </w:tcPr>
          <w:p>
            <w:pPr>
              <w:spacing w:after="0"/>
              <w:rPr>
                <w:sz w:val="1"/>
                <w:szCs w:val="1"/>
                <w:color w:val="auto"/>
              </w:rPr>
            </w:pPr>
          </w:p>
        </w:tc>
      </w:tr>
      <w:tr>
        <w:trPr>
          <w:trHeight w:val="311"/>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80</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30</w:t>
            </w:r>
          </w:p>
        </w:tc>
        <w:tc>
          <w:tcPr>
            <w:tcW w:w="0" w:type="dxa"/>
            <w:vAlign w:val="bottom"/>
          </w:tcPr>
          <w:p>
            <w:pPr>
              <w:spacing w:after="0"/>
              <w:rPr>
                <w:sz w:val="1"/>
                <w:szCs w:val="1"/>
                <w:color w:val="auto"/>
              </w:rPr>
            </w:pP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(46)</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(42)</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69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366</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46</w:t>
            </w:r>
          </w:p>
        </w:tc>
        <w:tc>
          <w:tcPr>
            <w:tcW w:w="0" w:type="dxa"/>
            <w:vAlign w:val="bottom"/>
          </w:tcPr>
          <w:p>
            <w:pPr>
              <w:spacing w:after="0"/>
              <w:rPr>
                <w:sz w:val="1"/>
                <w:szCs w:val="1"/>
                <w:color w:val="auto"/>
              </w:rPr>
            </w:pP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42</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Lease revenue</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(295)</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50</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33333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109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333333"/>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159</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40" w:hanging="151"/>
        <w:spacing w:after="0"/>
        <w:tabs>
          <w:tab w:leader="none" w:pos="24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revenues relate to leases and are accounted for under ASC 842:</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6"/>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Capacity revenue</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1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97"/>
        </w:trPr>
        <w:tc>
          <w:tcPr>
            <w:tcW w:w="6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333333"/>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586</w:t>
            </w:r>
          </w:p>
        </w:tc>
        <w:tc>
          <w:tcPr>
            <w:tcW w:w="0" w:type="dxa"/>
            <w:vAlign w:val="bottom"/>
          </w:tcPr>
          <w:p>
            <w:pPr>
              <w:spacing w:after="0"/>
              <w:rPr>
                <w:sz w:val="1"/>
                <w:szCs w:val="1"/>
                <w:color w:val="auto"/>
              </w:rPr>
            </w:pPr>
          </w:p>
        </w:tc>
      </w:tr>
      <w:tr>
        <w:trPr>
          <w:trHeight w:val="31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175</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42</w:t>
            </w: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(89)</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(24)</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118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572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690</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89</w:t>
            </w:r>
          </w:p>
        </w:tc>
        <w:tc>
          <w:tcPr>
            <w:tcW w:w="0" w:type="dxa"/>
            <w:vAlign w:val="bottom"/>
          </w:tcPr>
          <w:p>
            <w:pPr>
              <w:spacing w:after="0"/>
              <w:rPr>
                <w:sz w:val="1"/>
                <w:szCs w:val="1"/>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24</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Lease revenue</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(483)</w:t>
            </w:r>
          </w:p>
        </w:tc>
        <w:tc>
          <w:tcPr>
            <w:tcW w:w="0" w:type="dxa"/>
            <w:vAlign w:val="bottom"/>
          </w:tcPr>
          <w:p>
            <w:pPr>
              <w:spacing w:after="0"/>
              <w:rPr>
                <w:sz w:val="1"/>
                <w:szCs w:val="1"/>
                <w:color w:val="auto"/>
              </w:rPr>
            </w:pPr>
          </w:p>
        </w:tc>
      </w:tr>
      <w:tr>
        <w:trPr>
          <w:trHeight w:val="223"/>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87</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33333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233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333333"/>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320</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40" w:hanging="151"/>
        <w:spacing w:after="0"/>
        <w:tabs>
          <w:tab w:leader="none" w:pos="24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revenues relate to leases and are accounted for under ASC 842: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Capacity revenue</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8"/>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gridSpan w:val="6"/>
          </w:tcPr>
          <w:p>
            <w:pPr>
              <w:jc w:val="center"/>
              <w:ind w:left="973"/>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97"/>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32</w:t>
            </w: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33333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555</w:t>
            </w: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311"/>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Lease revenue</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3"/>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17" w:lineRule="exact"/>
        <w:rPr>
          <w:sz w:val="20"/>
          <w:szCs w:val="20"/>
          <w:color w:val="auto"/>
        </w:rPr>
      </w:pPr>
    </w:p>
    <w:p>
      <w:pPr>
        <w:ind w:left="240" w:hanging="151"/>
        <w:spacing w:after="0"/>
        <w:tabs>
          <w:tab w:leader="none" w:pos="24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revenues relate to leases and are accounted for under ASC 842:</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Renewables &amp; Storage</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Capacity revenue</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8"/>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contract assets included on the Company’s 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7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gridSpan w:val="3"/>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r>
      <w:tr>
        <w:trPr>
          <w:trHeight w:val="23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 Contracts with customers</w:t>
            </w:r>
          </w:p>
        </w:tc>
        <w:tc>
          <w:tcPr>
            <w:tcW w:w="146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receivable, net - Leases</w:t>
            </w:r>
          </w:p>
        </w:tc>
        <w:tc>
          <w:tcPr>
            <w:tcW w:w="14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8"/>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60" w:type="dxa"/>
            <w:vAlign w:val="bottom"/>
            <w:tcBorders>
              <w:bottom w:val="single" w:sz="8" w:color="auto"/>
            </w:tcBorders>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w:t>
      </w:r>
      <w:r>
        <w:rPr>
          <w:rFonts w:ascii="Times New Roman" w:cs="Times New Roman" w:eastAsia="Times New Roman" w:hAnsi="Times New Roman"/>
          <w:sz w:val="18"/>
          <w:szCs w:val="18"/>
          <w:b w:val="1"/>
          <w:bCs w:val="1"/>
          <w:i w:val="1"/>
          <w:iCs w:val="1"/>
          <w:color w:val="auto"/>
        </w:rPr>
        <w:t>Acquisitions</w:t>
      </w:r>
    </w:p>
    <w:p>
      <w:pPr>
        <w:spacing w:after="0" w:line="171"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Catalina Solar Acquisition — </w:t>
      </w:r>
      <w:r>
        <w:rPr>
          <w:rFonts w:ascii="Times New Roman" w:cs="Times New Roman" w:eastAsia="Times New Roman" w:hAnsi="Times New Roman"/>
          <w:sz w:val="18"/>
          <w:szCs w:val="18"/>
          <w:color w:val="auto"/>
        </w:rPr>
        <w:t>On July 16, 2025, the Company, through its indirect subsidiary, Catalina Solar Investment LLC, acquired Catalina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Solar Lessee Holdco LLC, which leases and operates Catalina, a 109 MW solar facility located in Kern County, California, from a third-party for approximately $127 million. Catalina reached commercial operations in 2013 and has a PPA with an investment-grade utility through 2038. The acquisition was funded with existing sources of liquidity. The Company estimates that its net capital investment in Catalina will be $125 million after factoring in cash acquired and estimated transaction expenses.</w:t>
      </w:r>
    </w:p>
    <w:p>
      <w:pPr>
        <w:spacing w:after="0" w:line="12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Pine Forest Drop Down </w:t>
      </w:r>
      <w:r>
        <w:rPr>
          <w:rFonts w:ascii="Times New Roman" w:cs="Times New Roman" w:eastAsia="Times New Roman" w:hAnsi="Times New Roman"/>
          <w:sz w:val="18"/>
          <w:szCs w:val="18"/>
          <w:color w:val="auto"/>
        </w:rPr>
        <w:t>— On June 10, 2025, the Company, through its indirect subsidiary, Pine Forest CE Class A Owner LLC, acquired the Class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 membership interests in Pine Forest CE TargetCo LLC, or Pine Forest TargetCo, a partnership and the indirect owner of Pine Forest, a 300 MW solar facility that is paired with a 200 MW BESS facility, which are both currently under construction in Hopkins County, Texas, from Clearway Renew for initial cash consideration of $18 million. Simultaneously, a third-party cash equity investor acquired the Class B membership interests in Pine Forest TargetCo from Clearway Renew for initial cash consideration of $36 million. Pine Forest TargetCo consolidates as primary beneficiary, Pine Forest TE HoldCo LLC, a tax equity fund that directly owns the Pine Forest solar and BESS facility, as further described in Note 4, </w:t>
      </w:r>
      <w:r>
        <w:rPr>
          <w:rFonts w:ascii="Times New Roman" w:cs="Times New Roman" w:eastAsia="Times New Roman" w:hAnsi="Times New Roman"/>
          <w:sz w:val="18"/>
          <w:szCs w:val="18"/>
          <w:i w:val="1"/>
          <w:iCs w:val="1"/>
          <w:color w:val="auto"/>
        </w:rPr>
        <w:t>Investments Accounted for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Method and Variable Interest Entities</w:t>
      </w:r>
      <w:r>
        <w:rPr>
          <w:rFonts w:ascii="Times New Roman" w:cs="Times New Roman" w:eastAsia="Times New Roman" w:hAnsi="Times New Roman"/>
          <w:sz w:val="18"/>
          <w:szCs w:val="18"/>
          <w:color w:val="auto"/>
        </w:rPr>
        <w:t>. Also on June 10, 2025, the Company, through its indirect subsidiary, Pine Forest TE Class A, contributed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 million to acquire the Class A membership interests in Pine Forest TE HoldCo LLC. At substantial completion, which is expected to occur in the second half of 2025, the Company estimates it will pay an additional $72 million to Clearway Renew for its Class A membership interests in Pine Forest TargetCo and will contribute an additional $37 million for its Class A membership interests in Pine Forest TE HoldCo LLC. In addition, the third-party cash equity investor in Pine Forest TargetCo is expected to contribute an additional $144 million.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7" w:name="page18"/>
    <w:bookmarkEnd w:id="17"/>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Pine Forest has PPAs for the solar facility with investment-grade counterparties and a 20-year weighted average contract duration that will commence when the underlying operating assets reach commercial operations, which is expected to occur in the second half of 2025. Pine Forest is reflected in the Company’s Renewables &amp; Storage segment and the acquisition was funded with existing sources of liquidity. The acquisition was determined to be an asset acquisition and the Company consolidates Pine Forest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8"/>
          <w:szCs w:val="18"/>
          <w:i w:val="1"/>
          <w:iCs w:val="1"/>
          <w:color w:val="auto"/>
        </w:rPr>
        <w:t>Business Combinations -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Issues</w:t>
      </w:r>
      <w:r>
        <w:rPr>
          <w:rFonts w:ascii="Times New Roman" w:cs="Times New Roman" w:eastAsia="Times New Roman" w:hAnsi="Times New Roman"/>
          <w:sz w:val="18"/>
          <w:szCs w:val="18"/>
          <w:color w:val="auto"/>
        </w:rPr>
        <w:t>. The sum of the initial cash consideration of $18 million and the historical cost of the Company’s net liabilities assumed of $9 million was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an adjustment to CEG’s noncontrolling interest balance. In addition, the Company reflected the entire $18 million of the Company’s initial purchase price, which was contributed back to the Company by CEG to pay down the acquired long-term debt, in the line item contributions from CEG, net of distributions in the consolidated statements of stockholders’ equity. The Company estimates that its total capital investment in Pine Forest TargetCo will be $136 million, excluding the impact of any closing adjustments noted in the purchase agreement.</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June 10,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Pine Forest</w:t>
            </w:r>
          </w:p>
        </w:tc>
      </w:tr>
      <w:tr>
        <w:trPr>
          <w:trHeight w:val="226"/>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1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Property, plant and equipment </w:t>
            </w:r>
            <w:r>
              <w:rPr>
                <w:rFonts w:ascii="Times New Roman" w:cs="Times New Roman" w:eastAsia="Times New Roman" w:hAnsi="Times New Roman"/>
                <w:sz w:val="23"/>
                <w:szCs w:val="23"/>
                <w:color w:val="auto"/>
                <w:vertAlign w:val="superscript"/>
              </w:rPr>
              <w:t>(a)</w:t>
            </w: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net</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Derivative assets</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9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70"/>
        </w:trPr>
        <w:tc>
          <w:tcPr>
            <w:tcW w:w="9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29"/>
        </w:trPr>
        <w:tc>
          <w:tcPr>
            <w:tcW w:w="91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(b)</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30"/>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9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23"/>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9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liabilities assumed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Construction in progress of $550 million.</w:t>
      </w:r>
    </w:p>
    <w:p>
      <w:pPr>
        <w:spacing w:after="0" w:line="57" w:lineRule="exact"/>
        <w:rPr>
          <w:rFonts w:ascii="Times New Roman" w:cs="Times New Roman" w:eastAsia="Times New Roman" w:hAnsi="Times New Roman"/>
          <w:sz w:val="20"/>
          <w:szCs w:val="20"/>
          <w:color w:val="auto"/>
          <w:vertAlign w:val="superscript"/>
        </w:rPr>
      </w:pPr>
    </w:p>
    <w:p>
      <w:pPr>
        <w:ind w:left="80" w:firstLine="9"/>
        <w:spacing w:after="0" w:line="213" w:lineRule="auto"/>
        <w:tabs>
          <w:tab w:leader="none" w:pos="252"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 xml:space="preserve">Includes a $103 million construction loan, a $102 million cash equity bridge loan, a $41 million tax equity bridge loan and a $275 million tax credit transfer bridge loan, offset by $6 million in unamortized debt issuance costs. See Note 7,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long-term debt assumed in the acquisition.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Tuolumne Wind Acquisition — </w:t>
      </w:r>
      <w:r>
        <w:rPr>
          <w:rFonts w:ascii="Times New Roman" w:cs="Times New Roman" w:eastAsia="Times New Roman" w:hAnsi="Times New Roman"/>
          <w:sz w:val="18"/>
          <w:szCs w:val="18"/>
          <w:color w:val="auto"/>
        </w:rPr>
        <w:t>On April 29, 2025, the Company, through its indirect subsidiary, Washington Wind LLC, acquired Tuolumne, a 137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MW wind facility located in Klickitat County, Washington, from an investment-grade regulated entity for approximately $210 million, which excludes $1 million in transaction expenses incurred in connection with the acquisition during the six months ended June 30, 2025. Tuolumne reached commercial operations in 2009. In connection with the acquisition, the Company entered into a 15-year PPA with an investment-grade regulated entity that commenced in April 2025. Tuolumne is reflected in the Company’s Renewables &amp; Storage segment and the acquisition was funded with borrowings under the new financing agreement that was entered into in connection with the acquisition, as further described in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as well as existing sources of liquidity. After factoring in transaction expenses and the new financing, the Company’s net capital investment in Tuolumne was $59 million. The acquisition was determined to be an asset acquisition and the purchase price, including transaction expenses, was allocated to the fair value of the assets acquired and liabilities assumed on the acquisition date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Tuolumne</w:t>
            </w:r>
          </w:p>
        </w:tc>
      </w:tr>
      <w:tr>
        <w:trPr>
          <w:trHeight w:val="226"/>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for power purchase agreement</w:t>
            </w:r>
          </w:p>
        </w:tc>
        <w:tc>
          <w:tcPr>
            <w:tcW w:w="4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4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9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4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70"/>
        </w:trPr>
        <w:tc>
          <w:tcPr>
            <w:tcW w:w="9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30"/>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4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9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
        </w:trPr>
        <w:tc>
          <w:tcPr>
            <w:tcW w:w="9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fair value of property, plant and equipment for the Company’s third-party acquisition of Tuolumne was determined primarily based on an income method using discounted cash flows and validated using a cost approach based on the replacement cost of the assets less economic depreciation. This methodology was utilized as the forecasted cash flows incorporate specific attributes including age, useful life, equipment condition and technology. The fair value of intangible asset for power purchase agreement was determined utilizing a variation of the income approach determined by discounting incremental cash flows associated with the contract to present value. Primary assumptions utilized included estimates of generation, contractual prices, operating expenses and the weighted average cost of capital reflective of a market participant. These assumptions are considered to be a Level 3 measurement as defined in ASC 820, as they utilize inputs that are not observable in the market.</w:t>
      </w:r>
    </w:p>
    <w:p>
      <w:pPr>
        <w:spacing w:after="0" w:line="13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Luna Valley Drop Down </w:t>
      </w:r>
      <w:r>
        <w:rPr>
          <w:rFonts w:ascii="Times New Roman" w:cs="Times New Roman" w:eastAsia="Times New Roman" w:hAnsi="Times New Roman"/>
          <w:sz w:val="18"/>
          <w:szCs w:val="18"/>
          <w:color w:val="auto"/>
        </w:rPr>
        <w:t>— On April 29, 2025, the Company, through its indirect subsidiary, LV-Daggett Parent Holdco LLC, acquired Luna Valley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Class B Member LLC, or Luna Valley Class B, the indirect owner of Luna Valley, a 200 MW solar facility that is currently under construction in Fresno County, California, from Clearway Renew for initial cash consideration of $18 million. At substantial completion, which is expected to occur in the second half of 2025, the Company estimates it will pay an additional $72 million to Clearway Renew. Luna Valley Class B consolidates as primary beneficiary, Luna Valley TE Holdco LLC, a tax equity fund that owns the Luna Valley solar facility, as further described in Note 4, </w:t>
      </w:r>
      <w:r>
        <w:rPr>
          <w:rFonts w:ascii="Times New Roman" w:cs="Times New Roman" w:eastAsia="Times New Roman" w:hAnsi="Times New Roman"/>
          <w:sz w:val="18"/>
          <w:szCs w:val="18"/>
          <w:i w:val="1"/>
          <w:iCs w:val="1"/>
          <w:color w:val="auto"/>
        </w:rPr>
        <w:t>Investments Accounted for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Method and Variable Interest Entities</w:t>
      </w:r>
      <w:r>
        <w:rPr>
          <w:rFonts w:ascii="Times New Roman" w:cs="Times New Roman" w:eastAsia="Times New Roman" w:hAnsi="Times New Roman"/>
          <w:sz w:val="18"/>
          <w:szCs w:val="18"/>
          <w:color w:val="auto"/>
        </w:rPr>
        <w:t>. Luna Valley has PPAs with investment-grade counterparties that have a 17-year weighted average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duration that commence when the underlying operating assets reach commercial operations, which is expected to occur in the second half of 2025. Luna Valley is reflected in the Company’s Renewables &amp; Storage segment and the acquisition was funded with existing sources of liquidity. The acquisition was determined to be an asset acquisition and the Company consolidates Luna Valley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 - Related Issues</w:t>
      </w:r>
      <w:r>
        <w:rPr>
          <w:rFonts w:ascii="Times New Roman" w:cs="Times New Roman" w:eastAsia="Times New Roman" w:hAnsi="Times New Roman"/>
          <w:sz w:val="18"/>
          <w:szCs w:val="18"/>
          <w:color w:val="auto"/>
        </w:rPr>
        <w:t>. The sum of the initial cash consideration of $18 million and the historical cost of the Company’s net liabilities assumed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 million was recorded as an adjustment to CEG’s noncontrolling interest balance. In addition, the Company reflected the entire $18 million of the Company’s initial purchase price, which was contributed back to the Company by CEG to pay down the acquired long-term debt, in the line item contributions from CEG, net of distributions in the consolidated statements of stockholders’ equity. The Company estimates that its total capital investment in Luna Valley Class B will be $90 million, excluding the impact of any closing adjustments noted in the purchase agreement.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ind w:left="42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April 29,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Luna Valley</w:t>
            </w:r>
          </w:p>
        </w:tc>
      </w:tr>
      <w:tr>
        <w:trPr>
          <w:trHeight w:val="226"/>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91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Property, plant and equipment </w:t>
            </w:r>
            <w:r>
              <w:rPr>
                <w:rFonts w:ascii="Times New Roman" w:cs="Times New Roman" w:eastAsia="Times New Roman" w:hAnsi="Times New Roman"/>
                <w:sz w:val="23"/>
                <w:szCs w:val="23"/>
                <w:color w:val="auto"/>
                <w:vertAlign w:val="superscript"/>
              </w:rPr>
              <w:t>(a)</w:t>
            </w: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net</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9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70"/>
        </w:trPr>
        <w:tc>
          <w:tcPr>
            <w:tcW w:w="9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29"/>
        </w:trPr>
        <w:tc>
          <w:tcPr>
            <w:tcW w:w="91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(b)</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30"/>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9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3"/>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9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liabilities assumed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Construction in progress of $338 million.</w:t>
      </w:r>
    </w:p>
    <w:p>
      <w:pPr>
        <w:spacing w:after="0" w:line="57" w:lineRule="exact"/>
        <w:rPr>
          <w:rFonts w:ascii="Times New Roman" w:cs="Times New Roman" w:eastAsia="Times New Roman" w:hAnsi="Times New Roman"/>
          <w:sz w:val="20"/>
          <w:szCs w:val="20"/>
          <w:color w:val="auto"/>
          <w:vertAlign w:val="superscript"/>
        </w:rPr>
      </w:pPr>
    </w:p>
    <w:p>
      <w:pPr>
        <w:ind w:left="80" w:firstLine="9"/>
        <w:spacing w:after="0" w:line="226" w:lineRule="auto"/>
        <w:tabs>
          <w:tab w:leader="none" w:pos="23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Includes a $144 million construction loan, a $64 million cash equity bridge loan and a $144 million tax equity bridge loan, offset by $4 million in unamortized debt issuance costs. See Note 7, </w:t>
      </w:r>
      <w:r>
        <w:rPr>
          <w:rFonts w:ascii="Times New Roman" w:cs="Times New Roman" w:eastAsia="Times New Roman" w:hAnsi="Times New Roman"/>
          <w:sz w:val="13"/>
          <w:szCs w:val="13"/>
          <w:i w:val="1"/>
          <w:iCs w:val="1"/>
          <w:color w:val="auto"/>
        </w:rPr>
        <w:t>Long-term Debt</w:t>
      </w:r>
      <w:r>
        <w:rPr>
          <w:rFonts w:ascii="Times New Roman" w:cs="Times New Roman" w:eastAsia="Times New Roman" w:hAnsi="Times New Roman"/>
          <w:sz w:val="13"/>
          <w:szCs w:val="13"/>
          <w:color w:val="auto"/>
        </w:rPr>
        <w:t>, for further discussion of the long-term debt assumed in the acquisition.</w:t>
      </w:r>
    </w:p>
    <w:p>
      <w:pPr>
        <w:spacing w:after="0" w:line="1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Daggett 1 Drop Down </w:t>
      </w:r>
      <w:r>
        <w:rPr>
          <w:rFonts w:ascii="Times New Roman" w:cs="Times New Roman" w:eastAsia="Times New Roman" w:hAnsi="Times New Roman"/>
          <w:sz w:val="18"/>
          <w:szCs w:val="18"/>
          <w:color w:val="auto"/>
        </w:rPr>
        <w:t>— On April 29, 2025, the Company, through its indirect subsidiary, LV-Daggett Parent Holdco LLC, acquired Daggett 1 Class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 Member LLC, or Daggett 1 Class B, the indirect owner of Daggett 1, a 114 MW BESS facility that is currently under construction in San Bernardino County, California, from Clearway Renew for initial cash consideration of $11 million. At substantial completion, which is expected to occur in the second half of 2025, the Company estimates it will pay an additional $42 million to Clearway Renew. Daggett 1 Class B consolidates as primary beneficiary, Daggett 1 TE Holdco LLC, a tax equity fund that owns the Daggett 1 BESS facility, as further described in Note 4, </w:t>
      </w:r>
      <w:r>
        <w:rPr>
          <w:rFonts w:ascii="Times New Roman" w:cs="Times New Roman" w:eastAsia="Times New Roman" w:hAnsi="Times New Roman"/>
          <w:sz w:val="18"/>
          <w:szCs w:val="18"/>
          <w:i w:val="1"/>
          <w:iCs w:val="1"/>
          <w:color w:val="auto"/>
        </w:rPr>
        <w:t>Investments Accounted for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Method and Variable Interest Entities</w:t>
      </w:r>
      <w:r>
        <w:rPr>
          <w:rFonts w:ascii="Times New Roman" w:cs="Times New Roman" w:eastAsia="Times New Roman" w:hAnsi="Times New Roman"/>
          <w:sz w:val="18"/>
          <w:szCs w:val="18"/>
          <w:color w:val="auto"/>
        </w:rPr>
        <w:t>. Daggett 1 has a PPA for capacity with an investment-grade counterparty for a contract duration of 15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that commences when the facility reaches commercial operations, which is expected to occur in the second half of 2025. Daggett 1 is reflected in the Company’s Renewables &amp; Storage segment and the acquisition was funded with existing sources of liquidity. The acquisition was determined to be an asset acquisition and the Company consolidates Daggett 1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difference between the initial cash consideration of $11 million and the historical cost of the Company’s net assets acquired of $1 million was recorded as an adjustment to CEG’s noncontrolling interest balance. In addition, the Company reflected the entire $11 million of the Company’s initial purchase price, which was contributed back to the Company by CEG into escrow in the line item contributions from CEG, net of distributions in the consolidated statements of stockholders’ equity. The Company estimates that its total capital investment in Daggett 1 Class B will be $53 million, excluding the impact of any closing adjustments noted in the purchase agreement.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ind w:left="42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April 29,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Daggett 1</w:t>
            </w:r>
          </w:p>
        </w:tc>
      </w:tr>
      <w:tr>
        <w:trPr>
          <w:trHeight w:val="226"/>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1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Property, plant and equipment </w:t>
            </w:r>
            <w:r>
              <w:rPr>
                <w:rFonts w:ascii="Times New Roman" w:cs="Times New Roman" w:eastAsia="Times New Roman" w:hAnsi="Times New Roman"/>
                <w:sz w:val="23"/>
                <w:szCs w:val="23"/>
                <w:color w:val="auto"/>
                <w:vertAlign w:val="superscript"/>
              </w:rPr>
              <w:t>(a)</w:t>
            </w:r>
          </w:p>
        </w:tc>
        <w:tc>
          <w:tcPr>
            <w:tcW w:w="4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9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4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70"/>
        </w:trPr>
        <w:tc>
          <w:tcPr>
            <w:tcW w:w="9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30"/>
        </w:trPr>
        <w:tc>
          <w:tcPr>
            <w:tcW w:w="91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(b)</w:t>
            </w:r>
          </w:p>
        </w:tc>
        <w:tc>
          <w:tcPr>
            <w:tcW w:w="4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4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9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3"/>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9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Construction in progress of $221 million.</w:t>
      </w:r>
    </w:p>
    <w:p>
      <w:pPr>
        <w:spacing w:after="0" w:line="57" w:lineRule="exact"/>
        <w:rPr>
          <w:rFonts w:ascii="Times New Roman" w:cs="Times New Roman" w:eastAsia="Times New Roman" w:hAnsi="Times New Roman"/>
          <w:sz w:val="20"/>
          <w:szCs w:val="20"/>
          <w:color w:val="auto"/>
          <w:vertAlign w:val="superscript"/>
        </w:rPr>
      </w:pPr>
    </w:p>
    <w:p>
      <w:pPr>
        <w:ind w:left="80" w:firstLine="9"/>
        <w:spacing w:after="0" w:line="226" w:lineRule="auto"/>
        <w:tabs>
          <w:tab w:leader="none" w:pos="238"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Includes a $92 million construction loan and a $131 million tax equity bridge loan, offset by $3 million in unamortized debt issuance costs. See Note 7, </w:t>
      </w:r>
      <w:r>
        <w:rPr>
          <w:rFonts w:ascii="Times New Roman" w:cs="Times New Roman" w:eastAsia="Times New Roman" w:hAnsi="Times New Roman"/>
          <w:sz w:val="13"/>
          <w:szCs w:val="13"/>
          <w:i w:val="1"/>
          <w:iCs w:val="1"/>
          <w:color w:val="auto"/>
        </w:rPr>
        <w:t>Long-term Debt</w:t>
      </w:r>
      <w:r>
        <w:rPr>
          <w:rFonts w:ascii="Times New Roman" w:cs="Times New Roman" w:eastAsia="Times New Roman" w:hAnsi="Times New Roman"/>
          <w:sz w:val="13"/>
          <w:szCs w:val="13"/>
          <w:color w:val="auto"/>
        </w:rPr>
        <w:t>, for further discussion of the long-term debt assumed in the acquisition.</w:t>
      </w:r>
    </w:p>
    <w:p>
      <w:pPr>
        <w:spacing w:after="0" w:line="1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Rosamond South I Drop Down </w:t>
      </w:r>
      <w:r>
        <w:rPr>
          <w:rFonts w:ascii="Times New Roman" w:cs="Times New Roman" w:eastAsia="Times New Roman" w:hAnsi="Times New Roman"/>
          <w:sz w:val="18"/>
          <w:szCs w:val="18"/>
          <w:color w:val="auto"/>
        </w:rPr>
        <w:t>— On March 20, 2025, the Company, through its indirect subsidiary, Rosamond South Investment LLC, acquired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Class A membership interests in Rosie South TargetCo LLC, or Rosie South TargetCo, a partnership and the indirect owner of Rosamond South I, a 140 MW solar facility that is paired with a 117 MW BESS facility, which are both currently under construction in Rosamond, California, from Clearway Renew for initial cash consideration of $4 million. Simultaneously, a third-party cash equity investor acquired the Class B membership interests in Rosie South TargetCo from Clearway Renew for initial cash consideration of $10 million. At substantial completion, which is expected to occur in the second half of 2025, the Company estimates it will pay an additional $17 million to Clearway Renew and the third-party cash equity investor will contribute an additional $41 million. Rosie South TargetCo consolidates as primary beneficiary, Rosie South TE Holdco LLC, a tax equity fund that directly owns the Rosamond South I solar and BESS facility, as further described in Note 4,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Rosamond South I has PPAs with investment-grade counterparties that have a 15-year weighted average contract duration that commence when the underlying operating assets reach commercial operations, which is expected to occur in the second half of 2025. Rosamond South I is reflected in the Company’s Renewables &amp; Storage segment and the acquisition was funded with existing sources of liquidity. The acquisition was determined to be an asset acquisition and the Company consolidates Rosamond South I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sum of the initial cash consideration of $4 million and the historical cost of the Company’s net liabilities assumed of $3 million was recorded as an adjustment to CEG’s noncontrolling interest balance. In addition, the Company reflected the entire $4 million of the Company’s initial purchase price, which was contributed back to the Company by CEG to pay down the acquired long-term debt, in the line item distributions to CEG, net of contributions in the consolidated statements of stockholders’ equity. The Company estimates that its total capital investment in Rosie South TargetCo will be $21 million, excluding the impact of any closing adjustments noted in the purchase agreement.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ind w:left="42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March 20,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Rosamond South I</w:t>
            </w:r>
          </w:p>
        </w:tc>
      </w:tr>
      <w:tr>
        <w:trPr>
          <w:trHeight w:val="226"/>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Property, plant and equipment </w:t>
            </w:r>
            <w:r>
              <w:rPr>
                <w:rFonts w:ascii="Times New Roman" w:cs="Times New Roman" w:eastAsia="Times New Roman" w:hAnsi="Times New Roman"/>
                <w:sz w:val="10"/>
                <w:szCs w:val="10"/>
                <w:color w:val="auto"/>
              </w:rPr>
              <w:t>(a)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30"/>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Right-of-use assets, net </w:t>
            </w:r>
            <w:r>
              <w:rPr>
                <w:rFonts w:ascii="Times New Roman" w:cs="Times New Roman" w:eastAsia="Times New Roman" w:hAnsi="Times New Roman"/>
                <w:sz w:val="10"/>
                <w:szCs w:val="10"/>
                <w:color w:val="auto"/>
              </w:rPr>
              <w:t>(b)</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9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70"/>
        </w:trPr>
        <w:tc>
          <w:tcPr>
            <w:tcW w:w="9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r>
      <w:tr>
        <w:trPr>
          <w:trHeight w:val="229"/>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10"/>
                <w:szCs w:val="10"/>
                <w:color w:val="auto"/>
              </w:rPr>
              <w:t>(c)</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Long-term lease liabilities </w:t>
            </w:r>
            <w:r>
              <w:rPr>
                <w:rFonts w:ascii="Times New Roman" w:cs="Times New Roman" w:eastAsia="Times New Roman" w:hAnsi="Times New Roman"/>
                <w:sz w:val="10"/>
                <w:szCs w:val="10"/>
                <w:color w:val="auto"/>
              </w:rPr>
              <w:t>(b)</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91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23"/>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liabilities assumed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Construction in progress of $495 million.</w:t>
      </w:r>
    </w:p>
    <w:p>
      <w:pPr>
        <w:spacing w:after="0" w:line="57" w:lineRule="exact"/>
        <w:rPr>
          <w:rFonts w:ascii="Times New Roman" w:cs="Times New Roman" w:eastAsia="Times New Roman" w:hAnsi="Times New Roman"/>
          <w:sz w:val="20"/>
          <w:szCs w:val="20"/>
          <w:color w:val="auto"/>
          <w:vertAlign w:val="superscript"/>
        </w:rPr>
      </w:pPr>
    </w:p>
    <w:p>
      <w:pPr>
        <w:ind w:left="240" w:hanging="151"/>
        <w:spacing w:after="0" w:line="189" w:lineRule="auto"/>
        <w:tabs>
          <w:tab w:leader="none" w:pos="24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Balances primarily relate to a land lease agreement with a wholly-owned subsidiary of CEG, which expires on September 30, 2058.</w:t>
      </w:r>
    </w:p>
    <w:p>
      <w:pPr>
        <w:spacing w:after="0" w:line="57" w:lineRule="exact"/>
        <w:rPr>
          <w:rFonts w:ascii="Times New Roman" w:cs="Times New Roman" w:eastAsia="Times New Roman" w:hAnsi="Times New Roman"/>
          <w:sz w:val="19"/>
          <w:szCs w:val="19"/>
          <w:color w:val="auto"/>
          <w:vertAlign w:val="superscript"/>
        </w:rPr>
      </w:pPr>
    </w:p>
    <w:p>
      <w:pPr>
        <w:ind w:left="80" w:firstLine="9"/>
        <w:spacing w:after="0" w:line="226" w:lineRule="auto"/>
        <w:tabs>
          <w:tab w:leader="none" w:pos="233"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Includes a $179 million construction loan, a $6 million cash equity bridge loan and a $284 million tax equity bridge loan, offset by $1 million in unamortized debt issuance costs. See Note 7, </w:t>
      </w:r>
      <w:r>
        <w:rPr>
          <w:rFonts w:ascii="Times New Roman" w:cs="Times New Roman" w:eastAsia="Times New Roman" w:hAnsi="Times New Roman"/>
          <w:sz w:val="13"/>
          <w:szCs w:val="13"/>
          <w:i w:val="1"/>
          <w:iCs w:val="1"/>
          <w:color w:val="auto"/>
        </w:rPr>
        <w:t>Long-term Debt</w:t>
      </w:r>
      <w:r>
        <w:rPr>
          <w:rFonts w:ascii="Times New Roman" w:cs="Times New Roman" w:eastAsia="Times New Roman" w:hAnsi="Times New Roman"/>
          <w:sz w:val="13"/>
          <w:szCs w:val="13"/>
          <w:color w:val="auto"/>
        </w:rPr>
        <w:t>, for further discussion of the long-term debt assumed in the acquisition.</w:t>
      </w:r>
    </w:p>
    <w:p>
      <w:pPr>
        <w:spacing w:after="0" w:line="151" w:lineRule="exact"/>
        <w:rPr>
          <w:sz w:val="20"/>
          <w:szCs w:val="20"/>
          <w:color w:val="auto"/>
        </w:rPr>
      </w:pPr>
    </w:p>
    <w:p>
      <w:pPr>
        <w:ind w:right="46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Note 4 — </w:t>
      </w:r>
      <w:r>
        <w:rPr>
          <w:rFonts w:ascii="Times New Roman" w:cs="Times New Roman" w:eastAsia="Times New Roman" w:hAnsi="Times New Roman"/>
          <w:sz w:val="18"/>
          <w:szCs w:val="18"/>
          <w:b w:val="1"/>
          <w:bCs w:val="1"/>
          <w:i w:val="1"/>
          <w:iCs w:val="1"/>
          <w:color w:val="auto"/>
        </w:rPr>
        <w:t>Investments Accounted for by the Equity Method and Variable Interest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Entities that are not Consolidated</w:t>
      </w:r>
    </w:p>
    <w:p>
      <w:pPr>
        <w:spacing w:after="0" w:line="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 consolidated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included in the Company’s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Form 10</w:t>
      </w:r>
      <w:r>
        <w:rPr>
          <w:rFonts w:ascii="Times New Roman" w:cs="Times New Roman" w:eastAsia="Times New Roman" w:hAnsi="Times New Roman"/>
          <w:sz w:val="18"/>
          <w:szCs w:val="18"/>
          <w:color w:val="000000"/>
        </w:rPr>
        <w:t>-K.</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Company’s equity investments in unconsolidated affiliates as of June 30, 2025:</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Economic Interest</w:t>
            </w:r>
          </w:p>
        </w:tc>
        <w:tc>
          <w:tcPr>
            <w:tcW w:w="180" w:type="dxa"/>
            <w:vAlign w:val="bottom"/>
          </w:tcPr>
          <w:p>
            <w:pPr>
              <w:spacing w:after="0"/>
              <w:rPr>
                <w:sz w:val="23"/>
                <w:szCs w:val="23"/>
                <w:color w:val="auto"/>
              </w:rPr>
            </w:pPr>
          </w:p>
        </w:tc>
        <w:tc>
          <w:tcPr>
            <w:tcW w:w="18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 xml:space="preserve">Investment Balance </w:t>
            </w:r>
            <w:r>
              <w:rPr>
                <w:rFonts w:ascii="Times New Roman" w:cs="Times New Roman" w:eastAsia="Times New Roman" w:hAnsi="Times New Roman"/>
                <w:sz w:val="23"/>
                <w:szCs w:val="23"/>
                <w:b w:val="1"/>
                <w:bCs w:val="1"/>
                <w:color w:val="auto"/>
                <w:vertAlign w:val="superscript"/>
              </w:rPr>
              <w:t>(a)</w:t>
            </w:r>
          </w:p>
        </w:tc>
      </w:tr>
      <w:tr>
        <w:trPr>
          <w:trHeight w:val="208"/>
        </w:trPr>
        <w:tc>
          <w:tcPr>
            <w:tcW w:w="2180" w:type="dxa"/>
            <w:vAlign w:val="bottom"/>
            <w:tcBorders>
              <w:top w:val="single" w:sz="8" w:color="auto"/>
            </w:tcBorders>
          </w:tcPr>
          <w:p>
            <w:pPr>
              <w:spacing w:after="0"/>
              <w:rPr>
                <w:sz w:val="18"/>
                <w:szCs w:val="18"/>
                <w:color w:val="auto"/>
              </w:rPr>
            </w:pPr>
          </w:p>
        </w:tc>
        <w:tc>
          <w:tcPr>
            <w:tcW w:w="5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Avenal</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Desert Sunlight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Elkhorn Ridge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66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GenConn </w:t>
            </w:r>
            <w:r>
              <w:rPr>
                <w:rFonts w:ascii="Times New Roman" w:cs="Times New Roman" w:eastAsia="Times New Roman" w:hAnsi="Times New Roman"/>
                <w:sz w:val="23"/>
                <w:szCs w:val="23"/>
                <w:color w:val="auto"/>
                <w:vertAlign w:val="superscript"/>
              </w:rPr>
              <w:t>(b)</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Juan Mesa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18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0"/>
        </w:trPr>
        <w:tc>
          <w:tcPr>
            <w:tcW w:w="21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tcPr>
          <w:p>
            <w:pPr>
              <w:spacing w:after="0"/>
              <w:rPr>
                <w:sz w:val="13"/>
                <w:szCs w:val="13"/>
                <w:color w:val="auto"/>
              </w:rPr>
            </w:pPr>
          </w:p>
        </w:tc>
      </w:tr>
    </w:tbl>
    <w:p>
      <w:pPr>
        <w:spacing w:after="0" w:line="23" w:lineRule="exact"/>
        <w:rPr>
          <w:sz w:val="20"/>
          <w:szCs w:val="20"/>
          <w:color w:val="auto"/>
        </w:rPr>
      </w:pPr>
    </w:p>
    <w:p>
      <w:pPr>
        <w:ind w:left="260" w:hanging="171"/>
        <w:spacing w:after="0"/>
        <w:tabs>
          <w:tab w:leader="none" w:pos="2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Company’s maximum exposure to loss is limited to its investment balances.</w:t>
      </w:r>
    </w:p>
    <w:p>
      <w:pPr>
        <w:spacing w:after="0" w:line="78" w:lineRule="exact"/>
        <w:rPr>
          <w:rFonts w:ascii="Times New Roman" w:cs="Times New Roman" w:eastAsia="Times New Roman" w:hAnsi="Times New Roman"/>
          <w:sz w:val="23"/>
          <w:szCs w:val="23"/>
          <w:color w:val="auto"/>
          <w:vertAlign w:val="superscript"/>
        </w:rPr>
      </w:pPr>
    </w:p>
    <w:p>
      <w:pPr>
        <w:ind w:left="260" w:hanging="171"/>
        <w:spacing w:after="0" w:line="185" w:lineRule="auto"/>
        <w:tabs>
          <w:tab w:leader="none" w:pos="26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GenConn is a VIE.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Consolidated</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to the consolidated financial statements included in the Company’s 2024 Form 10-K, the Company has a controlling financial interest in certain entities which have been identified as VIEs under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or ASC 810.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significant activity during the six months ended June 30, 2025 related to the Company’s consolidated VIEs:</w:t>
      </w:r>
    </w:p>
    <w:p>
      <w:pPr>
        <w:spacing w:after="0" w:line="16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Pine Forest TargetCo </w:t>
      </w:r>
      <w:r>
        <w:rPr>
          <w:rFonts w:ascii="Times New Roman" w:cs="Times New Roman" w:eastAsia="Times New Roman" w:hAnsi="Times New Roman"/>
          <w:sz w:val="18"/>
          <w:szCs w:val="18"/>
          <w:color w:val="auto"/>
        </w:rPr>
        <w:t>— 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on June 10, 2025, Pine Forest CE Class A Owner LLC, an indirect subsidiary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acquired the Class A membership interests in Pine Forest TargetCo, which is a partnership. The Company consolidates Pine Forest TargetCo as a VIE, as the Company is the primary beneficiary. Through its membership interests in Pine Forest TargetCo, the Company receives 50% of distributable cash. The Company recorded the third-party cash equity investor’s noncontrolling interest in Pine Forest TargetCo at the historical carrying amount, with the offset to additional paid-in capital. Pine Forest TargetCo consolidates as primary beneficiary, and through its ownership of the Class B membership interests, Pine Forest TE HoldCo LLC, a tax equity fund that directly owns the Pine Forest solar and BESS facility. The Class A membership interests in Pine Forest TE HoldCo LLC are held by Pine Forest TE Class A, an indirect subsidiary of the Company.</w:t>
      </w:r>
    </w:p>
    <w:p>
      <w:pPr>
        <w:spacing w:after="0" w:line="129"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Luna Valley TE Holdco LLC </w:t>
      </w:r>
      <w:r>
        <w:rPr>
          <w:rFonts w:ascii="Times New Roman" w:cs="Times New Roman" w:eastAsia="Times New Roman" w:hAnsi="Times New Roman"/>
          <w:sz w:val="18"/>
          <w:szCs w:val="18"/>
          <w:color w:val="auto"/>
        </w:rPr>
        <w:t>— 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on April 29, 2025, LV-Daggett Parent Holdco LLC, an indirect subsidiary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acquired Luna Valley Class B. Luna Valley Class B consolidates as primary beneficiary, and through its ownership of the Class B membership interests, Luna Valley TE Holdco LLC, a tax equity fund that owns the Luna Valley solar facility. The Class A membership interests in Luna Valley TE Holdco LLC are held by a tax equity investor and are reflected as redeemable noncontrolling interest on the Company’s consolidated balance sheet.</w:t>
      </w:r>
    </w:p>
    <w:p>
      <w:pPr>
        <w:spacing w:after="0" w:line="125"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Daggett 1 TE Holdco LLC </w:t>
      </w:r>
      <w:r>
        <w:rPr>
          <w:rFonts w:ascii="Times New Roman" w:cs="Times New Roman" w:eastAsia="Times New Roman" w:hAnsi="Times New Roman"/>
          <w:sz w:val="18"/>
          <w:szCs w:val="18"/>
          <w:color w:val="auto"/>
        </w:rPr>
        <w:t>— 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on April 29, 2025, LV-Daggett Parent Holdco LLC acquired Daggett 1 Class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Daggett 1 Class B consolidates as primary beneficiary, and through its ownership of the Class B membership interests, Daggett 1 TE Holdco LLC, a tax equity fund that owns the Daggett 1 BESS facility. The Class A membership interests in Daggett 1 TE Holdco LLC are held by a tax equity investor and are reflected as redeemable noncontrolling interest on the Company’s consolidated balance sheet.</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Rosie South TargetCo </w:t>
      </w:r>
      <w:r>
        <w:rPr>
          <w:rFonts w:ascii="Times New Roman" w:cs="Times New Roman" w:eastAsia="Times New Roman" w:hAnsi="Times New Roman"/>
          <w:sz w:val="18"/>
          <w:szCs w:val="18"/>
          <w:color w:val="auto"/>
        </w:rPr>
        <w:t>— 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on March 20, 2025, Rosamond South Investment LLC, an indirect subsidiary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acquired the Class A membership interests in Rosie South TargetCo, which is a partnership. The Company consolidates Rosie South TargetCo as a VIE, as the Company is the primary beneficiary. Through its membership interests in Rosie South TargetCo, the Company receives 50% of distributable cash. The Company recorded the third-party cash equity investor’s noncontrolling interest in Rosie South TargetCo at the historical carrying amount, with the offset to additional paid-in capital. Rosie South TargetCo consolidates as primary beneficiary, and through its ownership of the Class B membership interests, Rosie South TE Holdco LLC, a tax equity fund that directly owns the Rosamond South I solar and BESS facility. The Class A membership interests in Rosie South TE Holdco LLC are held by a tax equity investor and are reflected as noncontrolling interest on the Company’s consolidated balance sheet.</w:t>
      </w:r>
    </w:p>
    <w:p>
      <w:pPr>
        <w:spacing w:after="0" w:line="13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updated the following disclosure of assets and liabilities for its consolidated VIEs to present combined totals, and has revised the amounts as of December 31, 2024 to reflect accurate comparative totals for the same relevant entities: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5,985</w:t>
            </w:r>
          </w:p>
        </w:tc>
      </w:tr>
      <w:tr>
        <w:trPr>
          <w:trHeight w:val="223"/>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r>
      <w:tr>
        <w:trPr>
          <w:trHeight w:val="234"/>
        </w:trPr>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 xml:space="preserve">Note 5 — </w:t>
      </w:r>
      <w:r>
        <w:rPr>
          <w:rFonts w:ascii="Times New Roman" w:cs="Times New Roman" w:eastAsia="Times New Roman" w:hAnsi="Times New Roman"/>
          <w:sz w:val="18"/>
          <w:szCs w:val="18"/>
          <w:b w:val="1"/>
          <w:bCs w:val="1"/>
          <w:i w:val="1"/>
          <w:iCs w:val="1"/>
          <w:color w:val="auto"/>
        </w:rPr>
        <w:t>Fair Value of Financial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Accounting under ASC 820</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ASC 820 establishes a fair value hierarchy that prioritizes the inputs to valuation techniques used to measure fair value into three levels as follows:</w:t>
      </w:r>
    </w:p>
    <w:p>
      <w:pPr>
        <w:spacing w:after="0" w:line="63" w:lineRule="exact"/>
        <w:rPr>
          <w:sz w:val="20"/>
          <w:szCs w:val="20"/>
          <w:color w:val="auto"/>
        </w:rPr>
      </w:pPr>
    </w:p>
    <w:p>
      <w:pPr>
        <w:ind w:left="1220" w:hanging="240"/>
        <w:spacing w:after="0" w:line="281" w:lineRule="auto"/>
        <w:tabs>
          <w:tab w:leader="none" w:pos="1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 that the Company has the ability to access as of the measurement date.</w:t>
      </w:r>
    </w:p>
    <w:p>
      <w:pPr>
        <w:spacing w:after="0" w:line="1" w:lineRule="exact"/>
        <w:rPr>
          <w:rFonts w:ascii="Times New Roman" w:cs="Times New Roman" w:eastAsia="Times New Roman" w:hAnsi="Times New Roman"/>
          <w:sz w:val="18"/>
          <w:szCs w:val="18"/>
          <w:color w:val="auto"/>
        </w:rPr>
      </w:pPr>
    </w:p>
    <w:p>
      <w:pPr>
        <w:ind w:left="1220" w:hanging="240"/>
        <w:spacing w:after="0" w:line="281" w:lineRule="auto"/>
        <w:tabs>
          <w:tab w:leader="none" w:pos="1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1" w:lineRule="exact"/>
        <w:rPr>
          <w:rFonts w:ascii="Times New Roman" w:cs="Times New Roman" w:eastAsia="Times New Roman" w:hAnsi="Times New Roman"/>
          <w:sz w:val="18"/>
          <w:szCs w:val="18"/>
          <w:color w:val="auto"/>
        </w:rPr>
      </w:pPr>
    </w:p>
    <w:p>
      <w:pPr>
        <w:ind w:left="1220" w:right="20" w:hanging="240"/>
        <w:spacing w:after="0" w:line="282" w:lineRule="auto"/>
        <w:tabs>
          <w:tab w:leader="none" w:pos="1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for the asset or liability only used when there is little, if any, market activity for the asset or liability at the measurement date.</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cash and cash equivalents, restricted cash, accounts receivable — trade, accounts receivable — affiliates,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carrying amount and estimated fair value of the Company’s recorded financial instrument not carried at fair market value or that does not approximate fair value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420" w:type="dxa"/>
            <w:vAlign w:val="bottom"/>
          </w:tcPr>
          <w:p>
            <w:pPr>
              <w:spacing w:after="0"/>
              <w:rPr>
                <w:sz w:val="16"/>
                <w:szCs w:val="16"/>
                <w:color w:val="auto"/>
              </w:rPr>
            </w:pPr>
          </w:p>
        </w:tc>
        <w:tc>
          <w:tcPr>
            <w:tcW w:w="210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606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6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6"/>
        </w:trPr>
        <w:tc>
          <w:tcPr>
            <w:tcW w:w="6060" w:type="dxa"/>
            <w:vAlign w:val="bottom"/>
            <w:shd w:val="clear" w:color="auto" w:fill="CCEEFF"/>
          </w:tcPr>
          <w:p>
            <w:pPr>
              <w:ind w:left="40"/>
              <w:spacing w:after="0" w:line="235" w:lineRule="exact"/>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23"/>
                <w:szCs w:val="23"/>
                <w:color w:val="auto"/>
                <w:vertAlign w:val="superscript"/>
              </w:rPr>
              <w:t>(a)</w:t>
            </w: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8,782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7,237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92" w:lineRule="exact"/>
        <w:rPr>
          <w:sz w:val="20"/>
          <w:szCs w:val="20"/>
          <w:color w:val="auto"/>
        </w:rPr>
      </w:pPr>
    </w:p>
    <w:p>
      <w:pPr>
        <w:ind w:left="260" w:hanging="171"/>
        <w:spacing w:after="0"/>
        <w:tabs>
          <w:tab w:leader="none" w:pos="26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Excludes net debt issuance costs, which are recorded as a reduction to long-term debt on the Company’s consolidated balance sheets.</w:t>
      </w:r>
    </w:p>
    <w:p>
      <w:pPr>
        <w:spacing w:after="0" w:line="1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36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40"/>
        </w:trPr>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2,003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6,418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1,922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r>
      <w:tr>
        <w:trPr>
          <w:trHeight w:val="157"/>
        </w:trPr>
        <w:tc>
          <w:tcPr>
            <w:tcW w:w="6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20" w:type="dxa"/>
            <w:vAlign w:val="bottom"/>
          </w:tcPr>
          <w:p>
            <w:pPr>
              <w:spacing w:after="0"/>
              <w:rPr>
                <w:sz w:val="16"/>
                <w:szCs w:val="16"/>
                <w:color w:val="auto"/>
              </w:rPr>
            </w:pPr>
          </w:p>
        </w:tc>
        <w:tc>
          <w:tcPr>
            <w:tcW w:w="248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1"/>
                <w:szCs w:val="21"/>
                <w:b w:val="1"/>
                <w:bCs w:val="1"/>
                <w:color w:val="auto"/>
                <w:vertAlign w:val="superscript"/>
              </w:rPr>
              <w:t>(a)</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1"/>
                <w:szCs w:val="21"/>
                <w:b w:val="1"/>
                <w:bCs w:val="1"/>
                <w:color w:val="auto"/>
                <w:vertAlign w:val="superscript"/>
              </w:rPr>
              <w:t>(a)</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7"/>
                <w:szCs w:val="17"/>
                <w:color w:val="auto"/>
              </w:rPr>
            </w:pPr>
          </w:p>
        </w:tc>
        <w:tc>
          <w:tcPr>
            <w:tcW w:w="11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21"/>
                <w:szCs w:val="21"/>
                <w:b w:val="1"/>
                <w:bCs w:val="1"/>
                <w:color w:val="auto"/>
                <w:vertAlign w:val="superscript"/>
              </w:rPr>
              <w:t>(b)</w:t>
            </w:r>
          </w:p>
        </w:tc>
        <w:tc>
          <w:tcPr>
            <w:tcW w:w="380" w:type="dxa"/>
            <w:vAlign w:val="bottom"/>
          </w:tcPr>
          <w:p>
            <w:pPr>
              <w:spacing w:after="0"/>
              <w:rPr>
                <w:sz w:val="17"/>
                <w:szCs w:val="17"/>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21"/>
                <w:szCs w:val="21"/>
                <w:b w:val="1"/>
                <w:bCs w:val="1"/>
                <w:color w:val="auto"/>
                <w:vertAlign w:val="superscript"/>
              </w:rPr>
              <w:t>(b)</w:t>
            </w:r>
          </w:p>
        </w:tc>
        <w:tc>
          <w:tcPr>
            <w:tcW w:w="400" w:type="dxa"/>
            <w:vAlign w:val="bottom"/>
          </w:tcPr>
          <w:p>
            <w:pPr>
              <w:spacing w:after="0"/>
              <w:rPr>
                <w:sz w:val="17"/>
                <w:szCs w:val="17"/>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Energy-related commodity contracts </w:t>
            </w:r>
            <w:r>
              <w:rPr>
                <w:rFonts w:ascii="Times New Roman" w:cs="Times New Roman" w:eastAsia="Times New Roman" w:hAnsi="Times New Roman"/>
                <w:sz w:val="23"/>
                <w:szCs w:val="23"/>
                <w:color w:val="auto"/>
                <w:vertAlign w:val="superscript"/>
              </w:rPr>
              <w:t>(c)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Other financial instruments </w:t>
            </w:r>
            <w:r>
              <w:rPr>
                <w:rFonts w:ascii="Times New Roman" w:cs="Times New Roman" w:eastAsia="Times New Roman" w:hAnsi="Times New Roman"/>
                <w:sz w:val="23"/>
                <w:szCs w:val="23"/>
                <w:b w:val="1"/>
                <w:bCs w:val="1"/>
                <w:color w:val="auto"/>
                <w:vertAlign w:val="superscript"/>
              </w:rPr>
              <w:t>(d)</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Energy-related commodity contracts </w:t>
            </w:r>
            <w:r>
              <w:rPr>
                <w:rFonts w:ascii="Times New Roman" w:cs="Times New Roman" w:eastAsia="Times New Roman" w:hAnsi="Times New Roman"/>
                <w:sz w:val="23"/>
                <w:szCs w:val="23"/>
                <w:color w:val="auto"/>
                <w:vertAlign w:val="superscript"/>
              </w:rPr>
              <w:t>(e)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78" w:lineRule="exact"/>
        <w:rPr>
          <w:sz w:val="20"/>
          <w:szCs w:val="20"/>
          <w:color w:val="auto"/>
        </w:rPr>
      </w:pPr>
    </w:p>
    <w:p>
      <w:pPr>
        <w:ind w:left="260" w:hanging="171"/>
        <w:spacing w:after="0"/>
        <w:tabs>
          <w:tab w:leader="none" w:pos="26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There were no derivative assets or liabilities classified as Level 1 as of June 30, 2025 and December 31, 2024.</w:t>
      </w:r>
    </w:p>
    <w:p>
      <w:pPr>
        <w:spacing w:after="0" w:line="84" w:lineRule="exact"/>
        <w:rPr>
          <w:rFonts w:ascii="Times New Roman" w:cs="Times New Roman" w:eastAsia="Times New Roman" w:hAnsi="Times New Roman"/>
          <w:sz w:val="23"/>
          <w:szCs w:val="23"/>
          <w:color w:val="auto"/>
          <w:vertAlign w:val="superscript"/>
        </w:rPr>
      </w:pPr>
    </w:p>
    <w:p>
      <w:pPr>
        <w:ind w:left="80" w:right="20" w:firstLine="9"/>
        <w:spacing w:after="0" w:line="213" w:lineRule="auto"/>
        <w:tabs>
          <w:tab w:leader="none" w:pos="257"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The Company’s interest rate swaps are measured at fair value using an income approach, which uses readily observable inputs, such as forward interest rates (e.g., SOFR) and contractual terms to estimate fair value.</w:t>
      </w:r>
    </w:p>
    <w:p>
      <w:pPr>
        <w:ind w:left="260" w:hanging="171"/>
        <w:spacing w:after="0" w:line="232" w:lineRule="auto"/>
        <w:tabs>
          <w:tab w:leader="none" w:pos="26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heat rate call option contracts.</w:t>
      </w:r>
    </w:p>
    <w:p>
      <w:pPr>
        <w:spacing w:after="0" w:line="79" w:lineRule="exact"/>
        <w:rPr>
          <w:rFonts w:ascii="Times New Roman" w:cs="Times New Roman" w:eastAsia="Times New Roman" w:hAnsi="Times New Roman"/>
          <w:sz w:val="23"/>
          <w:szCs w:val="23"/>
          <w:color w:val="auto"/>
          <w:vertAlign w:val="superscript"/>
        </w:rPr>
      </w:pPr>
    </w:p>
    <w:p>
      <w:pPr>
        <w:ind w:left="260" w:hanging="171"/>
        <w:spacing w:after="0" w:line="185" w:lineRule="auto"/>
        <w:tabs>
          <w:tab w:leader="none" w:pos="26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Includes SREC contract.</w:t>
      </w:r>
    </w:p>
    <w:p>
      <w:pPr>
        <w:spacing w:after="0" w:line="71" w:lineRule="exact"/>
        <w:rPr>
          <w:rFonts w:ascii="Times New Roman" w:cs="Times New Roman" w:eastAsia="Times New Roman" w:hAnsi="Times New Roman"/>
          <w:sz w:val="20"/>
          <w:szCs w:val="20"/>
          <w:color w:val="auto"/>
          <w:vertAlign w:val="superscript"/>
        </w:rPr>
      </w:pPr>
    </w:p>
    <w:p>
      <w:pPr>
        <w:ind w:left="80" w:firstLine="9"/>
        <w:spacing w:after="0" w:line="213" w:lineRule="auto"/>
        <w:tabs>
          <w:tab w:leader="none" w:pos="25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Includes $339 million and $366 million related to long-term power commodity contracts as of June 30, 2025 and December 31, 2024, respectively, and $17 million and $5 million related to heat rate call option contracts as of June 30, 2025 and December 31, 2024, respectively.</w:t>
      </w:r>
    </w:p>
    <w:p>
      <w:pPr>
        <w:spacing w:after="0" w:line="154" w:lineRule="exact"/>
        <w:rPr>
          <w:sz w:val="20"/>
          <w:szCs w:val="20"/>
          <w:color w:val="auto"/>
        </w:rPr>
      </w:pPr>
    </w:p>
    <w:p>
      <w:pPr>
        <w:ind w:left="80"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beginning and ending balances for instruments that are recognized at fair value in the consolidated financial statements using significant unobservable inputs: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losses for the period included in earnings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p>
      <w:pPr>
        <w:spacing w:after="0" w:line="31" w:lineRule="exact"/>
        <w:rPr>
          <w:sz w:val="20"/>
          <w:szCs w:val="20"/>
          <w:color w:val="auto"/>
        </w:rPr>
      </w:pPr>
    </w:p>
    <w:p>
      <w:pPr>
        <w:ind w:left="300" w:hanging="161"/>
        <w:spacing w:after="0" w:line="234" w:lineRule="auto"/>
        <w:rPr>
          <w:sz w:val="20"/>
          <w:szCs w:val="20"/>
          <w:color w:val="auto"/>
        </w:rPr>
      </w:pPr>
      <w:r>
        <w:rPr>
          <w:rFonts w:ascii="Times New Roman" w:cs="Times New Roman" w:eastAsia="Times New Roman" w:hAnsi="Times New Roman"/>
          <w:sz w:val="18"/>
          <w:szCs w:val="18"/>
          <w:color w:val="auto"/>
        </w:rPr>
        <w:t>Change in unrealized losses included in earnings for derivatives and other financial instruments held as of June 30, 2025</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Financial Instruments Fair Value Measurements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28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2760" w:type="dxa"/>
            <w:vAlign w:val="bottom"/>
            <w:gridSpan w:val="4"/>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37"/>
        </w:trPr>
        <w:tc>
          <w:tcPr>
            <w:tcW w:w="140" w:type="dxa"/>
            <w:vAlign w:val="bottom"/>
          </w:tcPr>
          <w:p>
            <w:pPr>
              <w:spacing w:after="0"/>
              <w:rPr>
                <w:sz w:val="11"/>
                <w:szCs w:val="11"/>
                <w:color w:val="auto"/>
              </w:rPr>
            </w:pPr>
          </w:p>
        </w:tc>
        <w:tc>
          <w:tcPr>
            <w:tcW w:w="2760" w:type="dxa"/>
            <w:vAlign w:val="bottom"/>
            <w:gridSpan w:val="4"/>
          </w:tcPr>
          <w:p>
            <w:pPr>
              <w:jc w:val="center"/>
              <w:ind w:right="54"/>
              <w:spacing w:after="0" w:line="137" w:lineRule="exact"/>
              <w:rPr>
                <w:sz w:val="20"/>
                <w:szCs w:val="20"/>
                <w:color w:val="auto"/>
              </w:rPr>
            </w:pPr>
            <w:r>
              <w:rPr>
                <w:rFonts w:ascii="Times New Roman" w:cs="Times New Roman" w:eastAsia="Times New Roman" w:hAnsi="Times New Roman"/>
                <w:sz w:val="14"/>
                <w:szCs w:val="14"/>
                <w:b w:val="1"/>
                <w:bCs w:val="1"/>
                <w:color w:val="auto"/>
              </w:rPr>
              <w:t>Fair Value Measurement Using Significant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60" w:type="dxa"/>
            <w:vAlign w:val="bottom"/>
            <w:gridSpan w:val="4"/>
          </w:tcPr>
          <w:p>
            <w:pPr>
              <w:jc w:val="center"/>
              <w:ind w:right="54"/>
              <w:spacing w:after="0" w:line="137" w:lineRule="exact"/>
              <w:rPr>
                <w:sz w:val="20"/>
                <w:szCs w:val="20"/>
                <w:color w:val="auto"/>
              </w:rPr>
            </w:pPr>
            <w:r>
              <w:rPr>
                <w:rFonts w:ascii="Times New Roman" w:cs="Times New Roman" w:eastAsia="Times New Roman" w:hAnsi="Times New Roman"/>
                <w:sz w:val="14"/>
                <w:szCs w:val="14"/>
                <w:b w:val="1"/>
                <w:bCs w:val="1"/>
                <w:color w:val="auto"/>
              </w:rPr>
              <w:t>Fair Value Measurement Using Significant</w:t>
            </w:r>
          </w:p>
        </w:tc>
      </w:tr>
      <w:tr>
        <w:trPr>
          <w:trHeight w:val="195"/>
        </w:trPr>
        <w:tc>
          <w:tcPr>
            <w:tcW w:w="140" w:type="dxa"/>
            <w:vAlign w:val="bottom"/>
          </w:tcPr>
          <w:p>
            <w:pPr>
              <w:spacing w:after="0"/>
              <w:rPr>
                <w:sz w:val="16"/>
                <w:szCs w:val="16"/>
                <w:color w:val="auto"/>
              </w:rPr>
            </w:pPr>
          </w:p>
        </w:tc>
        <w:tc>
          <w:tcPr>
            <w:tcW w:w="28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 Inputs (Level 3)</w:t>
            </w:r>
          </w:p>
        </w:tc>
        <w:tc>
          <w:tcPr>
            <w:tcW w:w="120" w:type="dxa"/>
            <w:vAlign w:val="bottom"/>
          </w:tcPr>
          <w:p>
            <w:pPr>
              <w:spacing w:after="0"/>
              <w:rPr>
                <w:sz w:val="16"/>
                <w:szCs w:val="16"/>
                <w:color w:val="auto"/>
              </w:rPr>
            </w:pPr>
          </w:p>
        </w:tc>
        <w:tc>
          <w:tcPr>
            <w:tcW w:w="2760" w:type="dxa"/>
            <w:vAlign w:val="bottom"/>
            <w:gridSpan w:val="4"/>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Unobservable Inputs (Level 3)</w:t>
            </w:r>
          </w:p>
        </w:tc>
      </w:tr>
      <w:tr>
        <w:trPr>
          <w:trHeight w:val="223"/>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9"/>
        </w:trPr>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85"/>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-882650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-582295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-265430</wp:posOffset>
            </wp:positionV>
            <wp:extent cx="7132320"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5040" w:space="320"/>
            <w:col w:w="5880"/>
          </w:cols>
          <w:pgMar w:left="320" w:top="887" w:right="339" w:bottom="1440" w:gutter="0" w:footer="0" w:header="0"/>
          <w:type w:val="continuous"/>
        </w:sect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June 30, 2025, contracts valued with prices provided by models and other valuation techniques make up 3% of derivative assets, 92% of derivative liabilities and 100% of other financial instruments.</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significant positions classified as Level 3 relate to physical and financial energy-related contracts, including long-term power commodity contracts and heat rate call option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5" w:name="page26"/>
    <w:bookmarkEnd w:id="25"/>
    <w:p>
      <w:pPr>
        <w:ind w:left="420"/>
        <w:spacing w:after="0"/>
        <w:rPr>
          <w:sz w:val="20"/>
          <w:szCs w:val="20"/>
          <w:color w:val="auto"/>
        </w:rPr>
      </w:pPr>
      <w:r>
        <w:rPr>
          <w:rFonts w:ascii="Times New Roman" w:cs="Times New Roman" w:eastAsia="Times New Roman" w:hAnsi="Times New Roman"/>
          <w:sz w:val="18"/>
          <w:szCs w:val="18"/>
          <w:color w:val="auto"/>
        </w:rPr>
        <w:t>The following table quantifies the significant unobservable inputs used in developing the fair value of the Company’s Level 3 positions: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Input/Range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357"/>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Valuation</w:t>
            </w:r>
          </w:p>
        </w:tc>
        <w:tc>
          <w:tcPr>
            <w:tcW w:w="1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240" w:type="dxa"/>
            <w:vAlign w:val="bottom"/>
          </w:tcPr>
          <w:p>
            <w:pPr>
              <w:spacing w:after="0"/>
              <w:rPr>
                <w:sz w:val="14"/>
                <w:szCs w:val="14"/>
                <w:color w:val="auto"/>
              </w:rPr>
            </w:pPr>
          </w:p>
        </w:tc>
        <w:tc>
          <w:tcPr>
            <w:tcW w:w="1040" w:type="dxa"/>
            <w:vAlign w:val="bottom"/>
            <w:vMerge w:val="restart"/>
          </w:tcPr>
          <w:p>
            <w:pPr>
              <w:jc w:val="right"/>
              <w:ind w:right="397"/>
              <w:spacing w:after="0"/>
              <w:rPr>
                <w:sz w:val="20"/>
                <w:szCs w:val="20"/>
                <w:color w:val="auto"/>
              </w:rPr>
            </w:pPr>
            <w:r>
              <w:rPr>
                <w:rFonts w:ascii="Times New Roman" w:cs="Times New Roman" w:eastAsia="Times New Roman" w:hAnsi="Times New Roman"/>
                <w:sz w:val="18"/>
                <w:szCs w:val="18"/>
                <w:b w:val="1"/>
                <w:bCs w:val="1"/>
                <w:color w:val="auto"/>
              </w:rPr>
              <w:t>Low</w:t>
            </w:r>
          </w:p>
        </w:tc>
        <w:tc>
          <w:tcPr>
            <w:tcW w:w="140" w:type="dxa"/>
            <w:vAlign w:val="bottom"/>
          </w:tcPr>
          <w:p>
            <w:pPr>
              <w:spacing w:after="0"/>
              <w:rPr>
                <w:sz w:val="14"/>
                <w:szCs w:val="14"/>
                <w:color w:val="auto"/>
              </w:rPr>
            </w:pPr>
          </w:p>
        </w:tc>
        <w:tc>
          <w:tcPr>
            <w:tcW w:w="1160" w:type="dxa"/>
            <w:vAlign w:val="bottom"/>
            <w:vMerge w:val="restart"/>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High</w:t>
            </w:r>
          </w:p>
        </w:tc>
        <w:tc>
          <w:tcPr>
            <w:tcW w:w="200" w:type="dxa"/>
            <w:vAlign w:val="bottom"/>
          </w:tcPr>
          <w:p>
            <w:pPr>
              <w:spacing w:after="0"/>
              <w:rPr>
                <w:sz w:val="14"/>
                <w:szCs w:val="14"/>
                <w:color w:val="auto"/>
              </w:rPr>
            </w:pPr>
          </w:p>
        </w:tc>
        <w:tc>
          <w:tcPr>
            <w:tcW w:w="1100" w:type="dxa"/>
            <w:vAlign w:val="bottom"/>
          </w:tcPr>
          <w:p>
            <w:pPr>
              <w:jc w:val="right"/>
              <w:ind w:right="196"/>
              <w:spacing w:after="0" w:line="169"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Technique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08"/>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2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Long-term Power Commodity</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4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Discounted Cash</w:t>
            </w:r>
          </w:p>
        </w:tc>
        <w:tc>
          <w:tcPr>
            <w:tcW w:w="168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Forward Market Price ($</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83.50</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2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per MWh)</w:t>
            </w:r>
          </w:p>
        </w:tc>
        <w:tc>
          <w:tcPr>
            <w:tcW w:w="2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restart"/>
          </w:tcPr>
          <w:p>
            <w:pPr>
              <w:jc w:val="right"/>
              <w:ind w:right="117"/>
              <w:spacing w:after="0"/>
              <w:rPr>
                <w:sz w:val="20"/>
                <w:szCs w:val="20"/>
                <w:color w:val="auto"/>
              </w:rPr>
            </w:pPr>
            <w:r>
              <w:rPr>
                <w:rFonts w:ascii="Times New Roman" w:cs="Times New Roman" w:eastAsia="Times New Roman" w:hAnsi="Times New Roman"/>
                <w:sz w:val="16"/>
                <w:szCs w:val="16"/>
                <w:color w:val="auto"/>
              </w:rPr>
              <w:t>4</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Option Model</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Forward Market Price ($</w:t>
            </w:r>
          </w:p>
        </w:tc>
        <w:tc>
          <w:tcPr>
            <w:tcW w:w="2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1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858.30</w:t>
            </w:r>
          </w:p>
        </w:tc>
        <w:tc>
          <w:tcPr>
            <w:tcW w:w="2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53.89</w:t>
            </w:r>
          </w:p>
        </w:tc>
        <w:tc>
          <w:tcPr>
            <w:tcW w:w="0" w:type="dxa"/>
            <w:vAlign w:val="bottom"/>
          </w:tcPr>
          <w:p>
            <w:pPr>
              <w:spacing w:after="0"/>
              <w:rPr>
                <w:sz w:val="1"/>
                <w:szCs w:val="1"/>
                <w:color w:val="auto"/>
              </w:rPr>
            </w:pPr>
          </w:p>
        </w:tc>
      </w:tr>
      <w:tr>
        <w:trPr>
          <w:trHeight w:val="210"/>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Heat Rate Call Option</w:t>
            </w: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 MWh)</w:t>
            </w: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2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Commodity Contracts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Forward Market Price ($</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Option Model</w:t>
            </w:r>
          </w:p>
        </w:tc>
        <w:tc>
          <w:tcPr>
            <w:tcW w:w="16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8"/>
                <w:szCs w:val="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200" w:type="dxa"/>
            <w:vAlign w:val="bottom"/>
          </w:tcPr>
          <w:p>
            <w:pPr>
              <w:spacing w:after="0"/>
              <w:rPr>
                <w:sz w:val="8"/>
                <w:szCs w:val="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13"/>
        </w:trPr>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 MMBtu)</w:t>
            </w: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8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Forecast annual</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Discounted Cash</w:t>
            </w:r>
          </w:p>
        </w:tc>
        <w:tc>
          <w:tcPr>
            <w:tcW w:w="16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generation levels of</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Financial Instruments</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rPr>
              <w:t>7</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continue"/>
            <w:shd w:val="clear" w:color="auto" w:fill="CCEEFF"/>
          </w:tcPr>
          <w:p>
            <w:pPr>
              <w:spacing w:after="0"/>
              <w:rPr>
                <w:sz w:val="14"/>
                <w:szCs w:val="14"/>
                <w:color w:val="auto"/>
              </w:rPr>
            </w:pPr>
          </w:p>
        </w:tc>
        <w:tc>
          <w:tcPr>
            <w:tcW w:w="16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certain DG solar</w:t>
            </w:r>
          </w:p>
        </w:tc>
        <w:tc>
          <w:tcPr>
            <w:tcW w:w="2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60,047 MWh</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120,094 MWh</w:t>
            </w:r>
          </w:p>
        </w:tc>
        <w:tc>
          <w:tcPr>
            <w:tcW w:w="2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108,791 MWh</w:t>
            </w:r>
          </w:p>
        </w:tc>
        <w:tc>
          <w:tcPr>
            <w:tcW w:w="0" w:type="dxa"/>
            <w:vAlign w:val="bottom"/>
          </w:tcPr>
          <w:p>
            <w:pPr>
              <w:spacing w:after="0"/>
              <w:rPr>
                <w:sz w:val="1"/>
                <w:szCs w:val="1"/>
                <w:color w:val="auto"/>
              </w:rPr>
            </w:pPr>
          </w:p>
        </w:tc>
      </w:tr>
      <w:tr>
        <w:trPr>
          <w:trHeight w:val="216"/>
        </w:trPr>
        <w:tc>
          <w:tcPr>
            <w:tcW w:w="2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facilities</w:t>
            </w: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impact on the fair value measurements to increases/(decreases) in significant unobservable inputs as of June 30, 2025:</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rPr>
              <w:t>Type</w:t>
            </w: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Significant Unobservable Input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19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Change In Input</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Impact on Fair Value</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vMerge w:val="continue"/>
          </w:tcPr>
          <w:p>
            <w:pPr>
              <w:spacing w:after="0"/>
              <w:rPr>
                <w:sz w:val="21"/>
                <w:szCs w:val="21"/>
                <w:color w:val="auto"/>
              </w:rPr>
            </w:pPr>
          </w:p>
        </w:tc>
        <w:tc>
          <w:tcPr>
            <w:tcW w:w="288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920" w:type="dxa"/>
            <w:vAlign w:val="bottom"/>
            <w:tcBorders>
              <w:bottom w:val="single" w:sz="8" w:color="auto"/>
            </w:tcBorders>
            <w:vMerge w:val="continue"/>
          </w:tcPr>
          <w:p>
            <w:pPr>
              <w:spacing w:after="0"/>
              <w:rPr>
                <w:sz w:val="21"/>
                <w:szCs w:val="21"/>
                <w:color w:val="auto"/>
              </w:rPr>
            </w:pPr>
          </w:p>
        </w:tc>
        <w:tc>
          <w:tcPr>
            <w:tcW w:w="2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Measurement</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Energy-Related Commodity Contracts</w:t>
            </w: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Forward Market Price Power</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9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3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Lower/(Higher)</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Energy-Related Commodity Contracts</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Forward Market Price Gas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Higher/(Lower)</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Instruments</w:t>
            </w: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Forecast Generation Levels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9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3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Higher/(Lower)</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2025, the non-performance reserve was a $19 million gain recorded primarily to total operating revenues in the consolidated statements of operations. It is possible that future market prices could vary from those used in recording assets and liabilities and such variations could be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addition to the credit risk discussion as disclosed under Item 15 —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color w:val="auto"/>
        </w:rPr>
        <w:t xml:space="preserve"> consolidated financial statements included in the </w:t>
      </w:r>
      <w:r>
        <w:rPr>
          <w:rFonts w:ascii="Times New Roman" w:cs="Times New Roman" w:eastAsia="Times New Roman" w:hAnsi="Times New Roman"/>
          <w:sz w:val="18"/>
          <w:szCs w:val="18"/>
          <w:color w:val="231F20"/>
        </w:rPr>
        <w:t>Company’s</w:t>
      </w:r>
      <w:r>
        <w:rPr>
          <w:rFonts w:ascii="Times New Roman" w:cs="Times New Roman" w:eastAsia="Times New Roman" w:hAnsi="Times New Roman"/>
          <w:sz w:val="18"/>
          <w:szCs w:val="18"/>
          <w:color w:val="auto"/>
        </w:rPr>
        <w:t xml:space="preserve"> 2024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w:t>
      </w:r>
      <w:r>
        <w:rPr>
          <w:rFonts w:ascii="Times New Roman" w:cs="Times New Roman" w:eastAsia="Times New Roman" w:hAnsi="Times New Roman"/>
          <w:sz w:val="18"/>
          <w:szCs w:val="18"/>
          <w:b w:val="1"/>
          <w:bCs w:val="1"/>
          <w:i w:val="1"/>
          <w:iCs w:val="1"/>
          <w:color w:val="auto"/>
        </w:rPr>
        <w:t>Derivative Instruments and Hedging Activities</w:t>
      </w:r>
    </w:p>
    <w:p>
      <w:pPr>
        <w:spacing w:after="0" w:line="173"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Item 15 — Note 7, </w:t>
      </w:r>
      <w:r>
        <w:rPr>
          <w:rFonts w:ascii="Times New Roman" w:cs="Times New Roman" w:eastAsia="Times New Roman" w:hAnsi="Times New Roman"/>
          <w:sz w:val="18"/>
          <w:szCs w:val="18"/>
          <w:i w:val="1"/>
          <w:iCs w:val="1"/>
          <w:color w:val="auto"/>
        </w:rPr>
        <w:t>Accounting for Derivative Instruments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included in the Company’s 2024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enters into interest rate swap agreements in order to hedge the variability of expected future cash interest payments that may arise in connection with its non-recourse debt or a potential refinancing of its Senior Notes. As of June 30, 2025, the Company had interest rate derivative instruments extending through 2033, a portion of which were designated as cash flow hedges. Under the interest rate swap agreements, the Company pays a fixed rate and the counterparties to the agreements pay a variable interest 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Commodity Contracts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energy-related derivative instruments extending through 2033. At June 30, 2025, these contracts were not designated as cash flow or fair value hedges.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Volumetric Underlying Derivative Transactions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net notional volume buy/(sell) of the Company’s open derivative transactions broken out by commodity: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40" w:type="dxa"/>
            <w:vAlign w:val="bottom"/>
            <w:gridSpan w:val="3"/>
          </w:tcPr>
          <w:p>
            <w:pPr>
              <w:jc w:val="center"/>
              <w:ind w:right="1255"/>
              <w:spacing w:after="0"/>
              <w:rPr>
                <w:sz w:val="20"/>
                <w:szCs w:val="20"/>
                <w:color w:val="auto"/>
              </w:rPr>
            </w:pPr>
            <w:r>
              <w:rPr>
                <w:rFonts w:ascii="Times New Roman" w:cs="Times New Roman" w:eastAsia="Times New Roman" w:hAnsi="Times New Roman"/>
                <w:sz w:val="14"/>
                <w:szCs w:val="14"/>
                <w:b w:val="1"/>
                <w:bCs w:val="1"/>
                <w:color w:val="auto"/>
                <w:w w:val="99"/>
              </w:rPr>
              <w:t>Total Volume</w:t>
            </w:r>
          </w:p>
        </w:tc>
      </w:tr>
      <w:tr>
        <w:trPr>
          <w:trHeight w:val="2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8"/>
        </w:trPr>
        <w:tc>
          <w:tcPr>
            <w:tcW w:w="20" w:type="dxa"/>
            <w:vAlign w:val="bottom"/>
          </w:tcPr>
          <w:p>
            <w:pPr>
              <w:spacing w:after="0"/>
              <w:rPr>
                <w:sz w:val="12"/>
                <w:szCs w:val="12"/>
                <w:color w:val="auto"/>
              </w:rPr>
            </w:pPr>
          </w:p>
        </w:tc>
        <w:tc>
          <w:tcPr>
            <w:tcW w:w="5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Commodity</w:t>
            </w: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360" w:type="dxa"/>
            <w:vAlign w:val="bottom"/>
          </w:tcPr>
          <w:p>
            <w:pPr>
              <w:spacing w:after="0"/>
              <w:rPr>
                <w:sz w:val="12"/>
                <w:szCs w:val="12"/>
                <w:color w:val="auto"/>
              </w:rPr>
            </w:pPr>
          </w:p>
        </w:tc>
        <w:tc>
          <w:tcPr>
            <w:tcW w:w="920" w:type="dxa"/>
            <w:vAlign w:val="bottom"/>
            <w:gridSpan w:val="2"/>
          </w:tcPr>
          <w:p>
            <w:pPr>
              <w:jc w:val="center"/>
              <w:ind w:left="77"/>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5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w:t>
            </w: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MWh</w:t>
            </w:r>
          </w:p>
        </w:tc>
        <w:tc>
          <w:tcPr>
            <w:tcW w:w="13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Natural Gas</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MMBtu</w:t>
            </w:r>
          </w:p>
        </w:tc>
        <w:tc>
          <w:tcPr>
            <w:tcW w:w="1360" w:type="dxa"/>
            <w:vAlign w:val="bottom"/>
          </w:tcPr>
          <w:p>
            <w:pPr>
              <w:spacing w:after="0"/>
              <w:rPr>
                <w:sz w:val="19"/>
                <w:szCs w:val="19"/>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Dollars</w:t>
            </w:r>
          </w:p>
        </w:tc>
        <w:tc>
          <w:tcPr>
            <w:tcW w:w="136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98"/>
              </w:rPr>
              <w:t>3,995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consolidated balance sheets: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4560" w:type="dxa"/>
            <w:vAlign w:val="bottom"/>
          </w:tcPr>
          <w:p>
            <w:pPr>
              <w:spacing w:after="0"/>
              <w:rPr>
                <w:sz w:val="2"/>
                <w:szCs w:val="2"/>
                <w:color w:val="auto"/>
              </w:rPr>
            </w:pPr>
          </w:p>
        </w:tc>
        <w:tc>
          <w:tcPr>
            <w:tcW w:w="3380" w:type="dxa"/>
            <w:vAlign w:val="bottom"/>
            <w:tcBorders>
              <w:bottom w:val="single" w:sz="8" w:color="auto"/>
            </w:tcBorders>
            <w:gridSpan w:val="6"/>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3380" w:type="dxa"/>
            <w:vAlign w:val="bottom"/>
            <w:gridSpan w:val="6"/>
          </w:tcPr>
          <w:p>
            <w:pPr>
              <w:ind w:left="110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360" w:type="dxa"/>
            <w:vAlign w:val="bottom"/>
          </w:tcPr>
          <w:p>
            <w:pPr>
              <w:spacing w:after="0"/>
              <w:rPr>
                <w:sz w:val="16"/>
                <w:szCs w:val="16"/>
                <w:color w:val="auto"/>
              </w:rPr>
            </w:pPr>
          </w:p>
        </w:tc>
        <w:tc>
          <w:tcPr>
            <w:tcW w:w="294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196"/>
        </w:trPr>
        <w:tc>
          <w:tcPr>
            <w:tcW w:w="456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6"/>
        </w:trPr>
        <w:tc>
          <w:tcPr>
            <w:tcW w:w="4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1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26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2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Designated as Cash Flow Hedges</w:t>
            </w:r>
          </w:p>
        </w:tc>
        <w:tc>
          <w:tcPr>
            <w:tcW w:w="1260" w:type="dxa"/>
            <w:vAlign w:val="bottom"/>
            <w:tcBorders>
              <w:bottom w:val="single" w:sz="8" w:color="auto"/>
            </w:tcBorders>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Hedges:</w:t>
            </w: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26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Energy-related commodity contracts current</w:t>
            </w:r>
          </w:p>
        </w:tc>
        <w:tc>
          <w:tcPr>
            <w:tcW w:w="12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Energy-related commodity contracts long-term</w:t>
            </w:r>
          </w:p>
        </w:tc>
        <w:tc>
          <w:tcPr>
            <w:tcW w:w="12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Cash Flow Hedges</w:t>
            </w:r>
          </w:p>
        </w:tc>
        <w:tc>
          <w:tcPr>
            <w:tcW w:w="1260" w:type="dxa"/>
            <w:vAlign w:val="bottom"/>
            <w:tcBorders>
              <w:top w:val="single" w:sz="8" w:color="auto"/>
              <w:bottom w:val="single" w:sz="8" w:color="auto"/>
            </w:tcBorders>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260" w:type="dxa"/>
            <w:vAlign w:val="bottom"/>
            <w:tcBorders>
              <w:bottom w:val="single" w:sz="8" w:color="auto"/>
            </w:tcBorders>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balance sheet on a trade-by-trade basis and does not offset amounts at the counterparty level. As of June 30, 2025 and December 31, 2024, the amount of outstanding collateral paid or received was immaterial. The following tables summarize the offsetting of derivatives by counterparty: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40" w:type="dxa"/>
            <w:vAlign w:val="bottom"/>
            <w:gridSpan w:val="6"/>
          </w:tcPr>
          <w:p>
            <w:pPr>
              <w:jc w:val="center"/>
              <w:ind w:left="1076"/>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Energy-related commodity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energy-related commodity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gridSpan w:val="6"/>
          </w:tcPr>
          <w:p>
            <w:pPr>
              <w:jc w:val="center"/>
              <w:ind w:left="1076"/>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0"/>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Energy-related commodity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energy-related commodity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on the Company’s accumulated OCI (OCL) balance attributable to interest rate swaps designated as cash flow hedge derivatives, net of tax:</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46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Pr>
          <w:p>
            <w:pPr>
              <w:spacing w:after="0"/>
              <w:rPr>
                <w:sz w:val="16"/>
                <w:szCs w:val="16"/>
                <w:color w:val="auto"/>
              </w:rPr>
            </w:pPr>
          </w:p>
        </w:tc>
      </w:tr>
      <w:tr>
        <w:trPr>
          <w:trHeight w:val="23"/>
        </w:trPr>
        <w:tc>
          <w:tcPr>
            <w:tcW w:w="5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90"/>
        </w:trPr>
        <w:tc>
          <w:tcPr>
            <w:tcW w:w="5360" w:type="dxa"/>
            <w:vAlign w:val="bottom"/>
          </w:tcPr>
          <w:p>
            <w:pPr>
              <w:spacing w:after="0"/>
              <w:rPr>
                <w:sz w:val="16"/>
                <w:szCs w:val="16"/>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r>
      <w:tr>
        <w:trPr>
          <w:trHeight w:val="196"/>
        </w:trPr>
        <w:tc>
          <w:tcPr>
            <w:tcW w:w="5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gridSpan w:val="3"/>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3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OCI beginning balance</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3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Rosamond South I Drop Down </w:t>
            </w:r>
            <w:r>
              <w:rPr>
                <w:rFonts w:ascii="Times New Roman" w:cs="Times New Roman" w:eastAsia="Times New Roman" w:hAnsi="Times New Roman"/>
                <w:sz w:val="23"/>
                <w:szCs w:val="23"/>
                <w:color w:val="auto"/>
                <w:vertAlign w:val="superscript"/>
              </w:rPr>
              <w:t>(a)</w:t>
            </w:r>
          </w:p>
        </w:tc>
        <w:tc>
          <w:tcPr>
            <w:tcW w:w="9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Daggett 1 Drop Down </w:t>
            </w:r>
            <w:r>
              <w:rPr>
                <w:rFonts w:ascii="Times New Roman" w:cs="Times New Roman" w:eastAsia="Times New Roman" w:hAnsi="Times New Roman"/>
                <w:sz w:val="23"/>
                <w:szCs w:val="23"/>
                <w:color w:val="auto"/>
                <w:vertAlign w:val="superscript"/>
              </w:rPr>
              <w:t>(b)</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Luna Valley Drop Down </w:t>
            </w:r>
            <w:r>
              <w:rPr>
                <w:rFonts w:ascii="Times New Roman" w:cs="Times New Roman" w:eastAsia="Times New Roman" w:hAnsi="Times New Roman"/>
                <w:sz w:val="23"/>
                <w:szCs w:val="23"/>
                <w:color w:val="auto"/>
                <w:vertAlign w:val="superscript"/>
              </w:rPr>
              <w:t>(c)</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Pine Forest Drop Down </w:t>
            </w:r>
            <w:r>
              <w:rPr>
                <w:rFonts w:ascii="Times New Roman" w:cs="Times New Roman" w:eastAsia="Times New Roman" w:hAnsi="Times New Roman"/>
                <w:sz w:val="23"/>
                <w:szCs w:val="23"/>
                <w:color w:val="auto"/>
                <w:vertAlign w:val="superscript"/>
              </w:rPr>
              <w:t>(d)</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3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Reclassified from accumulated OCI to income due to realization of</w:t>
            </w: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43"/>
        </w:trPr>
        <w:tc>
          <w:tcPr>
            <w:tcW w:w="5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previously deferred amounts</w:t>
            </w:r>
          </w:p>
        </w:tc>
        <w:tc>
          <w:tcPr>
            <w:tcW w:w="94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Mark-to-market of cash flow hedge accounting contracts</w:t>
            </w: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56"/>
        </w:trPr>
        <w:tc>
          <w:tcPr>
            <w:tcW w:w="53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Accumulated (OCL) OCI ending balance, net of income tax (benefit)</w:t>
            </w: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43"/>
        </w:trPr>
        <w:tc>
          <w:tcPr>
            <w:tcW w:w="5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expense of $(4) and $2, respectively</w:t>
            </w:r>
          </w:p>
        </w:tc>
        <w:tc>
          <w:tcPr>
            <w:tcW w:w="9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(OCL) OCI attributable to noncontrolling interests</w:t>
            </w: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(OCL) OCI attributable to Clearway Energy, Inc.</w:t>
            </w:r>
          </w:p>
        </w:tc>
        <w:tc>
          <w:tcPr>
            <w:tcW w:w="94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expected to be realized from OCL during the next 12 months</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78" w:lineRule="exact"/>
        <w:rPr>
          <w:sz w:val="20"/>
          <w:szCs w:val="20"/>
          <w:color w:val="auto"/>
        </w:rPr>
      </w:pPr>
    </w:p>
    <w:p>
      <w:pPr>
        <w:ind w:left="260" w:hanging="171"/>
        <w:spacing w:after="0"/>
        <w:tabs>
          <w:tab w:leader="none" w:pos="26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Represents $1 million attributable to the Company and $3 million attributable to noncontrolling interests.</w:t>
      </w:r>
    </w:p>
    <w:p>
      <w:pPr>
        <w:spacing w:after="0" w:line="84" w:lineRule="exact"/>
        <w:rPr>
          <w:rFonts w:ascii="Times New Roman" w:cs="Times New Roman" w:eastAsia="Times New Roman" w:hAnsi="Times New Roman"/>
          <w:sz w:val="23"/>
          <w:szCs w:val="23"/>
          <w:color w:val="auto"/>
          <w:vertAlign w:val="superscript"/>
        </w:rPr>
      </w:pPr>
    </w:p>
    <w:p>
      <w:pPr>
        <w:ind w:left="260" w:hanging="171"/>
        <w:spacing w:after="0" w:line="189" w:lineRule="auto"/>
        <w:tabs>
          <w:tab w:leader="none" w:pos="2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Represents $4 million attributable to the Company and $2 million attributable to noncontrolling interests.</w:t>
      </w:r>
    </w:p>
    <w:p>
      <w:pPr>
        <w:spacing w:after="0" w:line="78" w:lineRule="exact"/>
        <w:rPr>
          <w:rFonts w:ascii="Times New Roman" w:cs="Times New Roman" w:eastAsia="Times New Roman" w:hAnsi="Times New Roman"/>
          <w:sz w:val="19"/>
          <w:szCs w:val="19"/>
          <w:color w:val="auto"/>
          <w:vertAlign w:val="superscript"/>
        </w:rPr>
      </w:pPr>
    </w:p>
    <w:p>
      <w:pPr>
        <w:ind w:left="260" w:hanging="171"/>
        <w:spacing w:after="0" w:line="185" w:lineRule="auto"/>
        <w:tabs>
          <w:tab w:leader="none" w:pos="26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Represents $5 million attributable to the Company and $3 million attributable to noncontrolling interests.</w:t>
      </w:r>
    </w:p>
    <w:p>
      <w:pPr>
        <w:spacing w:after="0" w:line="79" w:lineRule="exact"/>
        <w:rPr>
          <w:rFonts w:ascii="Times New Roman" w:cs="Times New Roman" w:eastAsia="Times New Roman" w:hAnsi="Times New Roman"/>
          <w:sz w:val="20"/>
          <w:szCs w:val="20"/>
          <w:color w:val="auto"/>
          <w:vertAlign w:val="superscript"/>
        </w:rPr>
      </w:pPr>
    </w:p>
    <w:p>
      <w:pPr>
        <w:ind w:left="260" w:hanging="171"/>
        <w:spacing w:after="0" w:line="185" w:lineRule="auto"/>
        <w:tabs>
          <w:tab w:leader="none" w:pos="26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Represents $3 million attributable to the Company and $2 million attributable to noncontrolling interests.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reclassified from accumulated OCI into income are recorded to interest expense.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Consolidated Statements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Mark-to-market gains/(losses) related to the Company’s derivatives are recorded in the consolidated statements of operations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4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60" w:type="dxa"/>
            <w:vAlign w:val="bottom"/>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360" w:type="dxa"/>
            <w:vAlign w:val="bottom"/>
          </w:tcPr>
          <w:p>
            <w:pPr>
              <w:spacing w:after="0"/>
              <w:rPr>
                <w:sz w:val="16"/>
                <w:szCs w:val="16"/>
                <w:color w:val="auto"/>
              </w:rPr>
            </w:pPr>
          </w:p>
        </w:tc>
        <w:tc>
          <w:tcPr>
            <w:tcW w:w="9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 (Interest expense)</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242424"/>
                <w:w w:val="88"/>
              </w:rPr>
              <w:t>$</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42424"/>
              </w:rPr>
              <w:t>2</w:t>
            </w:r>
          </w:p>
        </w:tc>
        <w:tc>
          <w:tcPr>
            <w:tcW w:w="100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242424"/>
                <w:w w:val="88"/>
              </w:rPr>
              <w:t>$</w:t>
            </w:r>
          </w:p>
        </w:tc>
        <w:tc>
          <w:tcPr>
            <w:tcW w:w="1020" w:type="dxa"/>
            <w:vAlign w:val="bottom"/>
            <w:shd w:val="clear" w:color="auto" w:fill="CCEEFF"/>
          </w:tcPr>
          <w:p>
            <w:pPr>
              <w:jc w:val="center"/>
              <w:ind w:left="477"/>
              <w:spacing w:after="0"/>
              <w:rPr>
                <w:sz w:val="20"/>
                <w:szCs w:val="20"/>
                <w:color w:val="auto"/>
              </w:rPr>
            </w:pPr>
            <w:r>
              <w:rPr>
                <w:rFonts w:ascii="Times New Roman" w:cs="Times New Roman" w:eastAsia="Times New Roman" w:hAnsi="Times New Roman"/>
                <w:sz w:val="18"/>
                <w:szCs w:val="18"/>
                <w:color w:val="242424"/>
                <w:w w:val="99"/>
              </w:rPr>
              <w:t>(32)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175"/>
        </w:trPr>
        <w:tc>
          <w:tcPr>
            <w:tcW w:w="5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Energy-Related Commodity Contracts (Mark-to-market for economic</w:t>
            </w: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536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hedging activities included in Total operating revenues) </w:t>
            </w:r>
            <w:r>
              <w:rPr>
                <w:rFonts w:ascii="Times New Roman" w:cs="Times New Roman" w:eastAsia="Times New Roman" w:hAnsi="Times New Roman"/>
                <w:sz w:val="23"/>
                <w:szCs w:val="23"/>
                <w:color w:val="auto"/>
                <w:vertAlign w:val="superscript"/>
              </w:rPr>
              <w:t>(a)</w:t>
            </w: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(10)</w:t>
            </w: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center"/>
              <w:ind w:left="477"/>
              <w:spacing w:after="0"/>
              <w:rPr>
                <w:sz w:val="20"/>
                <w:szCs w:val="20"/>
                <w:color w:val="auto"/>
              </w:rPr>
            </w:pPr>
            <w:r>
              <w:rPr>
                <w:rFonts w:ascii="Times New Roman" w:cs="Times New Roman" w:eastAsia="Times New Roman" w:hAnsi="Times New Roman"/>
                <w:sz w:val="18"/>
                <w:szCs w:val="18"/>
                <w:color w:val="242424"/>
                <w:w w:val="99"/>
              </w:rPr>
              <w:t>(21)</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175"/>
        </w:trPr>
        <w:tc>
          <w:tcPr>
            <w:tcW w:w="5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Energy-Related Commodity Contracts (Mark-to-market for economic</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53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hedging activities included in Cost of operations) </w:t>
            </w:r>
            <w:r>
              <w:rPr>
                <w:rFonts w:ascii="Times New Roman" w:cs="Times New Roman" w:eastAsia="Times New Roman" w:hAnsi="Times New Roman"/>
                <w:sz w:val="23"/>
                <w:szCs w:val="23"/>
                <w:color w:val="auto"/>
                <w:vertAlign w:val="superscript"/>
              </w:rPr>
              <w:t>(b)</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42424"/>
              </w:rPr>
              <w:t>—</w:t>
            </w: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ind w:left="477"/>
              <w:spacing w:after="0"/>
              <w:rPr>
                <w:sz w:val="20"/>
                <w:szCs w:val="20"/>
                <w:color w:val="auto"/>
              </w:rPr>
            </w:pPr>
            <w:r>
              <w:rPr>
                <w:rFonts w:ascii="Times New Roman" w:cs="Times New Roman" w:eastAsia="Times New Roman" w:hAnsi="Times New Roman"/>
                <w:sz w:val="18"/>
                <w:szCs w:val="18"/>
                <w:color w:val="242424"/>
                <w:w w:val="99"/>
              </w:rPr>
              <w:t>—</w:t>
            </w: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798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7" w:lineRule="exact"/>
        <w:rPr>
          <w:sz w:val="20"/>
          <w:szCs w:val="20"/>
          <w:color w:val="auto"/>
        </w:rPr>
      </w:pPr>
    </w:p>
    <w:p>
      <w:pPr>
        <w:ind w:left="80" w:firstLine="9"/>
        <w:spacing w:after="0" w:line="230" w:lineRule="auto"/>
        <w:tabs>
          <w:tab w:leader="none" w:pos="239"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Relates to long-term energy related commodity contracts at Elbow Creek, Mesquite Star, Mt. Storm, Langford and Mesquite Sky and heat rate call option energy-related commodity contracts at El Segundo, Marsh Landing and Walnut Creek.</w:t>
      </w:r>
    </w:p>
    <w:p>
      <w:pPr>
        <w:ind w:left="260" w:hanging="171"/>
        <w:spacing w:after="0" w:line="214" w:lineRule="auto"/>
        <w:tabs>
          <w:tab w:leader="none" w:pos="26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Relates to long-term backbone transportation service energy-related commodity contracts at El Segundo and Walnut Creek.</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Note 7 — </w:t>
      </w:r>
      <w:r>
        <w:rPr>
          <w:rFonts w:ascii="Times New Roman" w:cs="Times New Roman" w:eastAsia="Times New Roman" w:hAnsi="Times New Roman"/>
          <w:sz w:val="18"/>
          <w:szCs w:val="18"/>
          <w:b w:val="1"/>
          <w:bCs w:val="1"/>
          <w:i w:val="1"/>
          <w:iCs w:val="1"/>
          <w:color w:val="auto"/>
        </w:rPr>
        <w:t>Long-term Debt</w:t>
      </w:r>
    </w:p>
    <w:p>
      <w:pPr>
        <w:spacing w:after="0" w:line="17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This note should be read in conjunction with the complete description under Item 15 —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consolidated financial statements included in the Company’s 2024 Form 10-K. The Company’s borrowings, including short-term and long-term portions, consisted of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0" w:type="dxa"/>
            <w:vAlign w:val="bottom"/>
          </w:tcPr>
          <w:p>
            <w:pPr>
              <w:spacing w:after="0"/>
              <w:rPr>
                <w:sz w:val="18"/>
                <w:szCs w:val="18"/>
                <w:color w:val="auto"/>
              </w:rPr>
            </w:pPr>
          </w:p>
        </w:tc>
        <w:tc>
          <w:tcPr>
            <w:tcW w:w="16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2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8"/>
                <w:szCs w:val="18"/>
                <w:color w:val="auto"/>
              </w:rPr>
            </w:pPr>
          </w:p>
        </w:tc>
        <w:tc>
          <w:tcPr>
            <w:tcW w:w="14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8"/>
                <w:szCs w:val="18"/>
                <w:color w:val="auto"/>
              </w:rPr>
            </w:pPr>
          </w:p>
        </w:tc>
        <w:tc>
          <w:tcPr>
            <w:tcW w:w="1760" w:type="dxa"/>
            <w:vAlign w:val="bottom"/>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 xml:space="preserve">Interest Rate </w:t>
            </w:r>
            <w:r>
              <w:rPr>
                <w:rFonts w:ascii="Times New Roman" w:cs="Times New Roman" w:eastAsia="Times New Roman" w:hAnsi="Times New Roman"/>
                <w:sz w:val="18"/>
                <w:szCs w:val="18"/>
                <w:b w:val="1"/>
                <w:bCs w:val="1"/>
                <w:color w:val="auto"/>
                <w:vertAlign w:val="superscript"/>
              </w:rPr>
              <w:t>(a)</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980" w:type="dxa"/>
            <w:vAlign w:val="bottom"/>
            <w:tcBorders>
              <w:top w:val="single" w:sz="8" w:color="auto"/>
            </w:tcBorders>
            <w:gridSpan w:val="4"/>
            <w:shd w:val="clear" w:color="auto" w:fill="CCEEFF"/>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2028-2032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- 4.750%</w:t>
            </w:r>
          </w:p>
        </w:tc>
        <w:tc>
          <w:tcPr>
            <w:tcW w:w="0" w:type="dxa"/>
            <w:vAlign w:val="bottom"/>
          </w:tcPr>
          <w:p>
            <w:pPr>
              <w:spacing w:after="0"/>
              <w:rPr>
                <w:sz w:val="1"/>
                <w:szCs w:val="1"/>
                <w:color w:val="auto"/>
              </w:rPr>
            </w:pPr>
          </w:p>
        </w:tc>
      </w:tr>
      <w:tr>
        <w:trPr>
          <w:trHeight w:val="165"/>
        </w:trPr>
        <w:tc>
          <w:tcPr>
            <w:tcW w:w="4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Clearway Energy LLC and Clearway Energy Operating LLC</w:t>
            </w:r>
          </w:p>
        </w:tc>
        <w:tc>
          <w:tcPr>
            <w:tcW w:w="1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4"/>
                <w:szCs w:val="14"/>
                <w:color w:val="auto"/>
              </w:rPr>
            </w:pPr>
          </w:p>
        </w:tc>
        <w:tc>
          <w:tcPr>
            <w:tcW w:w="1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S+1.500%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Revolving Credit Facility </w:t>
            </w:r>
            <w:r>
              <w:rPr>
                <w:rFonts w:ascii="Times New Roman" w:cs="Times New Roman" w:eastAsia="Times New Roman" w:hAnsi="Times New Roman"/>
                <w:sz w:val="21"/>
                <w:szCs w:val="21"/>
                <w:color w:val="auto"/>
                <w:vertAlign w:val="superscript"/>
              </w:rPr>
              <w:t>(b) (c)</w:t>
            </w: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Non-recourse facility-level debt: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2031-2040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- 8.000%</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Variable rate</w:t>
            </w: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2025-2033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S+1.250%</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8"/>
              </w:rPr>
              <w:t>- 2.775%</w:t>
            </w: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debt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current maturities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debt issuance costs</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Add premiums </w:t>
            </w:r>
            <w:r>
              <w:rPr>
                <w:rFonts w:ascii="Times New Roman" w:cs="Times New Roman" w:eastAsia="Times New Roman" w:hAnsi="Times New Roman"/>
                <w:sz w:val="21"/>
                <w:szCs w:val="21"/>
                <w:color w:val="auto"/>
                <w:vertAlign w:val="superscript"/>
              </w:rPr>
              <w:t>(d)</w:t>
            </w: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1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0" w:lineRule="exact"/>
        <w:rPr>
          <w:sz w:val="20"/>
          <w:szCs w:val="20"/>
          <w:color w:val="auto"/>
        </w:rPr>
      </w:pPr>
    </w:p>
    <w:p>
      <w:pPr>
        <w:ind w:left="220" w:hanging="131"/>
        <w:spacing w:after="0"/>
        <w:tabs>
          <w:tab w:leader="none" w:pos="22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As of June 30, 2025, S+ equals SOFR plus x%.</w:t>
      </w:r>
    </w:p>
    <w:p>
      <w:pPr>
        <w:spacing w:after="0" w:line="57" w:lineRule="exact"/>
        <w:rPr>
          <w:rFonts w:ascii="Times New Roman" w:cs="Times New Roman" w:eastAsia="Times New Roman" w:hAnsi="Times New Roman"/>
          <w:sz w:val="17"/>
          <w:szCs w:val="17"/>
          <w:color w:val="auto"/>
          <w:vertAlign w:val="superscript"/>
        </w:rPr>
      </w:pPr>
    </w:p>
    <w:p>
      <w:pPr>
        <w:ind w:left="240" w:hanging="151"/>
        <w:spacing w:after="0" w:line="189" w:lineRule="auto"/>
        <w:tabs>
          <w:tab w:leader="none" w:pos="24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Applicable rate is determined by the borrower leverage ratio, as defined in the credit agreement.</w:t>
      </w:r>
    </w:p>
    <w:p>
      <w:pPr>
        <w:spacing w:after="0" w:line="57" w:lineRule="exact"/>
        <w:rPr>
          <w:rFonts w:ascii="Times New Roman" w:cs="Times New Roman" w:eastAsia="Times New Roman" w:hAnsi="Times New Roman"/>
          <w:sz w:val="19"/>
          <w:szCs w:val="19"/>
          <w:color w:val="auto"/>
          <w:vertAlign w:val="superscript"/>
        </w:rPr>
      </w:pPr>
    </w:p>
    <w:p>
      <w:pPr>
        <w:ind w:left="240" w:hanging="151"/>
        <w:spacing w:after="0" w:line="189" w:lineRule="auto"/>
        <w:tabs>
          <w:tab w:leader="none" w:pos="24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As of July 31, 2025, the Company had $200 million in outstanding borrowings under the revolving credit facility.</w:t>
      </w:r>
    </w:p>
    <w:p>
      <w:pPr>
        <w:spacing w:after="0" w:line="57" w:lineRule="exact"/>
        <w:rPr>
          <w:rFonts w:ascii="Times New Roman" w:cs="Times New Roman" w:eastAsia="Times New Roman" w:hAnsi="Times New Roman"/>
          <w:sz w:val="19"/>
          <w:szCs w:val="19"/>
          <w:color w:val="auto"/>
          <w:vertAlign w:val="superscript"/>
        </w:rPr>
      </w:pPr>
    </w:p>
    <w:p>
      <w:pPr>
        <w:ind w:left="240" w:hanging="151"/>
        <w:spacing w:after="0" w:line="189" w:lineRule="auto"/>
        <w:tabs>
          <w:tab w:leader="none" w:pos="24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Premiums relate to the 2028 Senior Notes.</w:t>
      </w:r>
    </w:p>
    <w:p>
      <w:pPr>
        <w:spacing w:after="0" w:line="1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$1,037 million in letters of credit outstanding, $76 million of which is related to the Company’s revolving credit facility.</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financing arrangements listed above contain certain covenants, including financial covenants that the Company is required to be in compliance with during the term of the respective arrangement. As of June 30, 2025, the Company was in compliance with all of the required covenants.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discussion below describes material changes to or additions of long-term debt for the six months ended June 30,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Facility-level Debt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Pine Forest</w:t>
      </w:r>
    </w:p>
    <w:p>
      <w:pPr>
        <w:spacing w:after="0" w:line="17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On June 10, 2025, as part of the acquisition of Pine Forest, as further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assumed the facility’s financing agreement, which included a $103 million construction loan that converts to a term loan when the facility reaches substantial completion, which is expected to occur in the second half of 2025, a $102 million cash equity bridge loan, a $41 million tax equity bridge loan and a $275 million tax credit transfer bridge loan, offset by $6 million in unamortized debt issuance costs. A partial payment of $54 million was made on the cash equity bridge loan at acquisition date utilizing all of the proceeds from the Company, which were contributed back to the Company by CEG, and the cash equity investor related to the Pine Forest TargetCo acquisition. The tax equity bridge loan, tax credit transfer bridge loan and remaining cash equity bridge loan will be repaid with the final proceeds contributed by Pine Forest TE Class A, an indirect subsidiary of the Company, as well as the Company’s and the third-party cash equity investor’s additional purchase price upon Pine Forest reaching substantial completion, along with the $9 million that was contributed into escrow by Pine Forest TE Class A, which is included in restricted cash on the Company’s consolidated balance sheet. Subsequent to the acquisition, the Company borrowed an additional $14 million in cash equity bridge loans through June 30, 2025.</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ind w:left="420"/>
        <w:spacing w:after="0"/>
        <w:rPr>
          <w:sz w:val="20"/>
          <w:szCs w:val="20"/>
          <w:color w:val="auto"/>
        </w:rPr>
      </w:pPr>
      <w:r>
        <w:rPr>
          <w:rFonts w:ascii="Times New Roman" w:cs="Times New Roman" w:eastAsia="Times New Roman" w:hAnsi="Times New Roman"/>
          <w:sz w:val="18"/>
          <w:szCs w:val="18"/>
          <w:i w:val="1"/>
          <w:iCs w:val="1"/>
          <w:color w:val="auto"/>
        </w:rPr>
        <w:t>Dan’s Mountain</w:t>
      </w:r>
    </w:p>
    <w:p>
      <w:pPr>
        <w:spacing w:after="0" w:line="17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May 21, 2025, when the Dan’s Mountain facility reached substantial completion, the Company paid $36 million to Clearway Renew as additional purchase price in connection with the Company’s acquisition of the Class A membership interests in Dan’s Mountain TargetCo LLC, or Dan’s Mountain TargetCo, on November 18, 2024, which was funded with existing sources of liquidity. The Company’s additional purchase price was recorded as an adjustment to CEG’s noncontrolling interest balance. Also on May 21, 2025, a third-party cash equity investor contributed $45 million to acquire the Class B membership interests in Dan’s Mountain TargetCo from Clearway Renew and the tax equity investor contributed an additional $90 million. The Company utilized the combined proceeds from the cash equity and tax equity investors, along with the Company’s entire additional purchase price, which was contributed back to the Company by CEG, and the $18 million previously held in escrow, to repay the $91 million tax equity bridge loan, to repay the $70 million cash equity bridge loan and to pay $2 million in associated fees with the remaining $26 million distributed to CEG. Prior to substantial completion being reached, the Company borrowed an additional $18 million in tax equity bridge loans during 2025. The Company’s total capital investment in Dan’s Mountain was $43 million.</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Luna Valley</w:t>
      </w:r>
    </w:p>
    <w:p>
      <w:pPr>
        <w:spacing w:after="0" w:line="17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On April 29, 2025, as part of the acquisition of Luna Valley, as further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assumed the facility’s financing agreement, which included a $144 million construction loan that converts to a term loan when the facility reaches substantial completion, which is expected to occur in the second half of 2025, a $64 million cash equity bridge loan and a $144 million tax equity bridge loan, offset by $4 million in unamortized debt issuance costs. A partial payment of $18 million was made on the cash equity bridge loan at acquisition date utilizing all of the proceeds from the Company, which were contributed back to the Company by CEG. The tax equity bridge loan and remaining cash equity bridge loan will be repaid with the final proceeds received from the tax equity investor and the Company’s additional purchase price upon Luna Valley reaching substantial completion, along with the $29 million that was contributed into escrow by the tax equity investor at acquisition date, which is included in restricted cash on the Company’s consolidated balance sheet. Subsequent to the acquisition, the Company borrowed an additional $17 million in construction loans through June 30, 2025.</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Daggett 1</w:t>
      </w:r>
    </w:p>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On April 29, 2025, as part of the acquisition of Daggett 1, as further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assumed the facility’s financing agreement, which included a $92 million construction loan that converts to a term loan when the facility reaches substantial completion, which is expected to occur in the second half of 2025, and a $131 million tax equity bridge loan, offset by $3 million in unamortized debt issuance costs. The tax equity bridge loan will be repaid upon Daggett 1 reaching substantial completion with the final proceeds received from the tax equity investor, as well as the Company’s additional purchase price, along with the $38 million that was contributed into escrow by the tax equity investor and the Company at acquisition date, which is included in restricted cash on the Company’s consolidated balance sheet. Subsequent to the acquisition, the Company borrowed an additional $7 million in construction loans through June 30, 2025.</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Tuolumne</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On April 29, 2025, in order to partially fund the third-party acquisition of the Tuolumne wind facility, as further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entered into a financing agreement, which included the issuance of a $163 million term loan, as well as $22 million in letters of credit in support of debt service and facility obligations, supported by the Company’s interests in the Tuolumne wind facility. The term loan bears interest at a rate of SOFR plus 1.625% per annum and matures on April 29, 2030.</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Buckthorn Solar</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April 9, 2025, the Company, through its indirect subsidiary, Buckthorn Solar Portfolio LLC, refinanced its existing credit agreement, which was scheduled to mature in May 2025, resulting in the issuance of a $104 million term loan facility, as well as $22 million in letters of credit in support of debt service and facility obligations, supported by the Company’s interests in the Buckthorn Solar facility. The term loan bears interest at a rate of SOFR plus 1.625% per annum and matures on April 9, 2031. The Company utilized the proceeds from the term loan and existing sources of liquidity to pay off the existing debt in the amount of $112 million.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1" w:name="page32"/>
    <w:bookmarkEnd w:id="31"/>
    <w:p>
      <w:pPr>
        <w:ind w:left="420"/>
        <w:spacing w:after="0"/>
        <w:rPr>
          <w:sz w:val="20"/>
          <w:szCs w:val="20"/>
          <w:color w:val="auto"/>
        </w:rPr>
      </w:pPr>
      <w:r>
        <w:rPr>
          <w:rFonts w:ascii="Times New Roman" w:cs="Times New Roman" w:eastAsia="Times New Roman" w:hAnsi="Times New Roman"/>
          <w:sz w:val="18"/>
          <w:szCs w:val="18"/>
          <w:i w:val="1"/>
          <w:iCs w:val="1"/>
          <w:color w:val="auto"/>
        </w:rPr>
        <w:t>Rosamond South I</w:t>
      </w:r>
    </w:p>
    <w:p>
      <w:pPr>
        <w:spacing w:after="0" w:line="17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On March 20, 2025, as part of the acquisition of Rosamond South I, as further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assumed the facility’s financing agreement, which included a $179 million construction loan that converts to a term loan when the facility reaches substantial completion, which is expected to occur in the second half of 2025, a $6 million cash equity bridge loan and a $284 million tax equity bridge loan, offset by $1 million in unamortized debt issuance costs. The cash equity bridge loan was repaid at acquisition date, along with $3 million in associated fees, utilizing $2 million from the third-party cash equity investor, as well as all of the proceeds from the Company, which were contributed back to the Company by CEG, and an additional $3 million contributed by CEG. The tax equity bridge loan will be repaid upon Rosamond South I reaching substantial completion with the final proceeds received from the tax equity investor, as well as the Company’s and the third-party cash equity investor’s additional purchase price, along with the $58 million that was contributed into escrow by the tax equity investor at acquisition date, which is included in restricted cash on the Company’s consolidated balance sheet. Subsequent to the acquisition, the Company borrowed an additional $35 million in construction loans through June 30,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w:t>
      </w:r>
      <w:r>
        <w:rPr>
          <w:rFonts w:ascii="Times New Roman" w:cs="Times New Roman" w:eastAsia="Times New Roman" w:hAnsi="Times New Roman"/>
          <w:sz w:val="18"/>
          <w:szCs w:val="18"/>
          <w:b w:val="1"/>
          <w:bCs w:val="1"/>
          <w:i w:val="1"/>
          <w:iCs w:val="1"/>
          <w:color w:val="auto"/>
        </w:rPr>
        <w:t>Earnings Per Share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(loss)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reconciliation of the Company’s basic and diluted earnings per share is shown in the following table: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 millions, except per share data) </w:t>
            </w:r>
            <w:r>
              <w:rPr>
                <w:rFonts w:ascii="Times New Roman" w:cs="Times New Roman" w:eastAsia="Times New Roman" w:hAnsi="Times New Roman"/>
                <w:sz w:val="18"/>
                <w:szCs w:val="18"/>
                <w:b w:val="1"/>
                <w:bCs w:val="1"/>
                <w:color w:val="auto"/>
                <w:vertAlign w:val="superscript"/>
              </w:rPr>
              <w:t>(a)</w:t>
            </w:r>
          </w:p>
        </w:tc>
        <w:tc>
          <w:tcPr>
            <w:tcW w:w="10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114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10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0" w:type="dxa"/>
            <w:vAlign w:val="bottom"/>
          </w:tcPr>
          <w:p>
            <w:pPr>
              <w:spacing w:after="0"/>
              <w:rPr>
                <w:sz w:val="1"/>
                <w:szCs w:val="1"/>
                <w:color w:val="auto"/>
              </w:rPr>
            </w:pPr>
          </w:p>
        </w:tc>
      </w:tr>
      <w:tr>
        <w:trPr>
          <w:trHeight w:val="200"/>
        </w:trPr>
        <w:tc>
          <w:tcPr>
            <w:tcW w:w="67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280" w:type="dxa"/>
            <w:vAlign w:val="bottom"/>
          </w:tcPr>
          <w:p>
            <w:pPr>
              <w:spacing w:after="0"/>
              <w:rPr>
                <w:sz w:val="17"/>
                <w:szCs w:val="17"/>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280" w:type="dxa"/>
            <w:vAlign w:val="bottom"/>
          </w:tcPr>
          <w:p>
            <w:pPr>
              <w:spacing w:after="0"/>
              <w:rPr>
                <w:sz w:val="17"/>
                <w:szCs w:val="17"/>
                <w:color w:val="auto"/>
              </w:rPr>
            </w:pPr>
          </w:p>
        </w:tc>
        <w:tc>
          <w:tcPr>
            <w:tcW w:w="7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56"/>
        </w:trPr>
        <w:tc>
          <w:tcPr>
            <w:tcW w:w="676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Basic and diluted earnings per share attributable to Clearway Energy, Inc. common</w:t>
            </w:r>
          </w:p>
        </w:tc>
        <w:tc>
          <w:tcPr>
            <w:tcW w:w="2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Clearway Energy, Inc.</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weighted average common share — basic and diluted</w:t>
            </w: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4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40" w:hanging="151"/>
        <w:spacing w:after="0"/>
        <w:tabs>
          <w:tab w:leader="none" w:pos="240"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Net income attributable to Clearway Energy, Inc. and basic and diluted earnings per share might not recalculate due to presenting amounts in millions rather than whole dollars.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 millions, except per share data) </w:t>
            </w:r>
            <w:r>
              <w:rPr>
                <w:rFonts w:ascii="Times New Roman" w:cs="Times New Roman" w:eastAsia="Times New Roman" w:hAnsi="Times New Roman"/>
                <w:sz w:val="18"/>
                <w:szCs w:val="18"/>
                <w:b w:val="1"/>
                <w:bCs w:val="1"/>
                <w:color w:val="auto"/>
                <w:vertAlign w:val="superscript"/>
              </w:rPr>
              <w:t>(a)</w:t>
            </w:r>
          </w:p>
        </w:tc>
        <w:tc>
          <w:tcPr>
            <w:tcW w:w="10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114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10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0" w:type="dxa"/>
            <w:vAlign w:val="bottom"/>
          </w:tcPr>
          <w:p>
            <w:pPr>
              <w:spacing w:after="0"/>
              <w:rPr>
                <w:sz w:val="1"/>
                <w:szCs w:val="1"/>
                <w:color w:val="auto"/>
              </w:rPr>
            </w:pPr>
          </w:p>
        </w:tc>
      </w:tr>
      <w:tr>
        <w:trPr>
          <w:trHeight w:val="200"/>
        </w:trPr>
        <w:tc>
          <w:tcPr>
            <w:tcW w:w="67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280" w:type="dxa"/>
            <w:vAlign w:val="bottom"/>
          </w:tcPr>
          <w:p>
            <w:pPr>
              <w:spacing w:after="0"/>
              <w:rPr>
                <w:sz w:val="17"/>
                <w:szCs w:val="17"/>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280" w:type="dxa"/>
            <w:vAlign w:val="bottom"/>
          </w:tcPr>
          <w:p>
            <w:pPr>
              <w:spacing w:after="0"/>
              <w:rPr>
                <w:sz w:val="17"/>
                <w:szCs w:val="17"/>
                <w:color w:val="auto"/>
              </w:rPr>
            </w:pPr>
          </w:p>
        </w:tc>
        <w:tc>
          <w:tcPr>
            <w:tcW w:w="7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55"/>
        </w:trPr>
        <w:tc>
          <w:tcPr>
            <w:tcW w:w="676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Basic and diluted earnings per share attributable to Clearway Energy, Inc. common</w:t>
            </w:r>
          </w:p>
        </w:tc>
        <w:tc>
          <w:tcPr>
            <w:tcW w:w="2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Clearway Energy, Inc.</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weighted average common share — basic and diluted</w:t>
            </w: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4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40" w:hanging="151"/>
        <w:spacing w:after="0"/>
        <w:tabs>
          <w:tab w:leader="none" w:pos="24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Net income attributable to Clearway Energy, Inc. and basic and diluted earnings per share might not recalculate due to presenting amounts in millions rather than whole dollars.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segment structure reflects how management currently operates and allocates resources. The Company’s businesses are segregated based on Flexible Generation and Renewables &amp; Storage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net income (loss). The Company’s Chief Executive Officer reviews net income (loss) and its components on a monthly and quarterly basis to evaluate the performance of each segment and to determine how to allocate resources.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w:t>
            </w:r>
          </w:p>
        </w:tc>
        <w:tc>
          <w:tcPr>
            <w:tcW w:w="240" w:type="dxa"/>
            <w:vAlign w:val="bottom"/>
          </w:tcPr>
          <w:p>
            <w:pPr>
              <w:spacing w:after="0"/>
              <w:rPr>
                <w:sz w:val="11"/>
                <w:szCs w:val="11"/>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720" w:type="dxa"/>
            <w:vAlign w:val="bottom"/>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92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48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176"/>
        </w:trPr>
        <w:tc>
          <w:tcPr>
            <w:tcW w:w="57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shown separately below</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6"/>
        </w:trPr>
        <w:tc>
          <w:tcPr>
            <w:tcW w:w="57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(loss) income attributable to noncontrolling interests and</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4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Clearway Energy, Inc.</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3"/>
                <w:szCs w:val="23"/>
                <w:color w:val="auto"/>
                <w:vertAlign w:val="superscript"/>
              </w:rPr>
              <w:t>(b)</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8"/>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100" w:type="dxa"/>
            <w:vAlign w:val="bottom"/>
          </w:tcPr>
          <w:p>
            <w:pPr>
              <w:spacing w:after="0"/>
              <w:rPr>
                <w:sz w:val="20"/>
                <w:szCs w:val="20"/>
                <w:color w:val="auto"/>
              </w:rPr>
            </w:pP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3798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8" w:lineRule="exact"/>
        <w:rPr>
          <w:sz w:val="20"/>
          <w:szCs w:val="20"/>
          <w:color w:val="auto"/>
        </w:rPr>
      </w:pPr>
    </w:p>
    <w:p>
      <w:pPr>
        <w:ind w:left="240" w:hanging="151"/>
        <w:spacing w:after="0"/>
        <w:tabs>
          <w:tab w:leader="none" w:pos="24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eliminations.</w:t>
      </w:r>
    </w:p>
    <w:p>
      <w:pPr>
        <w:spacing w:after="0" w:line="64" w:lineRule="exact"/>
        <w:rPr>
          <w:rFonts w:ascii="Times New Roman" w:cs="Times New Roman" w:eastAsia="Times New Roman" w:hAnsi="Times New Roman"/>
          <w:sz w:val="20"/>
          <w:szCs w:val="20"/>
          <w:color w:val="auto"/>
          <w:vertAlign w:val="superscript"/>
        </w:rPr>
      </w:pPr>
    </w:p>
    <w:p>
      <w:pPr>
        <w:ind w:left="260" w:hanging="171"/>
        <w:spacing w:after="0" w:line="191" w:lineRule="auto"/>
        <w:tabs>
          <w:tab w:leader="none" w:pos="26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accruals.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18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1"/>
                <w:szCs w:val="21"/>
                <w:b w:val="1"/>
                <w:bCs w:val="1"/>
                <w:color w:val="auto"/>
                <w:vertAlign w:val="superscript"/>
              </w:rPr>
              <w:t>(a)</w:t>
            </w:r>
          </w:p>
        </w:tc>
        <w:tc>
          <w:tcPr>
            <w:tcW w:w="300" w:type="dxa"/>
            <w:vAlign w:val="bottom"/>
          </w:tcPr>
          <w:p>
            <w:pPr>
              <w:spacing w:after="0"/>
              <w:rPr>
                <w:sz w:val="11"/>
                <w:szCs w:val="11"/>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640" w:type="dxa"/>
            <w:vAlign w:val="bottom"/>
            <w:gridSpan w:val="2"/>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54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175"/>
        </w:trPr>
        <w:tc>
          <w:tcPr>
            <w:tcW w:w="56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shown separately below</w:t>
            </w:r>
          </w:p>
        </w:tc>
        <w:tc>
          <w:tcPr>
            <w:tcW w:w="5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5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5"/>
        </w:trPr>
        <w:tc>
          <w:tcPr>
            <w:tcW w:w="56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(loss) income attributable to noncontrolling interests and</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54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8"/>
        </w:trPr>
        <w:tc>
          <w:tcPr>
            <w:tcW w:w="5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Clearway Energy, Inc.</w:t>
            </w:r>
          </w:p>
        </w:tc>
        <w:tc>
          <w:tcPr>
            <w:tcW w:w="54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30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3"/>
                <w:szCs w:val="23"/>
                <w:color w:val="auto"/>
                <w:vertAlign w:val="superscript"/>
              </w:rPr>
              <w:t>(b)</w:t>
            </w: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99"/>
        </w:trPr>
        <w:tc>
          <w:tcPr>
            <w:tcW w:w="218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564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 xml:space="preserve"> Includes eliminations.</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64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vertAlign w:val="superscript"/>
              </w:rPr>
              <w:t>(b)</w:t>
            </w:r>
            <w:r>
              <w:rPr>
                <w:rFonts w:ascii="Times New Roman" w:cs="Times New Roman" w:eastAsia="Times New Roman" w:hAnsi="Times New Roman"/>
                <w:sz w:val="16"/>
                <w:szCs w:val="16"/>
                <w:color w:val="auto"/>
              </w:rPr>
              <w:t xml:space="preserve"> Includes accruals.</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18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1"/>
                <w:szCs w:val="21"/>
                <w:b w:val="1"/>
                <w:bCs w:val="1"/>
                <w:color w:val="auto"/>
                <w:vertAlign w:val="superscript"/>
              </w:rPr>
              <w:t>(a)</w:t>
            </w:r>
          </w:p>
        </w:tc>
        <w:tc>
          <w:tcPr>
            <w:tcW w:w="300" w:type="dxa"/>
            <w:vAlign w:val="bottom"/>
          </w:tcPr>
          <w:p>
            <w:pPr>
              <w:spacing w:after="0"/>
              <w:rPr>
                <w:sz w:val="11"/>
                <w:szCs w:val="11"/>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640" w:type="dxa"/>
            <w:vAlign w:val="bottom"/>
            <w:gridSpan w:val="2"/>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54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175"/>
        </w:trPr>
        <w:tc>
          <w:tcPr>
            <w:tcW w:w="564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shown separately below</w:t>
            </w:r>
          </w:p>
        </w:tc>
        <w:tc>
          <w:tcPr>
            <w:tcW w:w="5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5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75"/>
        </w:trPr>
        <w:tc>
          <w:tcPr>
            <w:tcW w:w="56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(loss) income attributable to noncontrolling interests and</w:t>
            </w: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5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Clearway Energy, Inc.</w:t>
            </w:r>
          </w:p>
        </w:tc>
        <w:tc>
          <w:tcPr>
            <w:tcW w:w="5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3"/>
                <w:szCs w:val="23"/>
                <w:color w:val="auto"/>
                <w:vertAlign w:val="superscript"/>
              </w:rPr>
              <w:t>(b)</w:t>
            </w:r>
          </w:p>
        </w:tc>
        <w:tc>
          <w:tcPr>
            <w:tcW w:w="54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3798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1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 xml:space="preserve"> Includes eliminations.</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vertAlign w:val="superscript"/>
        </w:rPr>
        <w:t>(b)</w:t>
      </w:r>
      <w:r>
        <w:rPr>
          <w:rFonts w:ascii="Times New Roman" w:cs="Times New Roman" w:eastAsia="Times New Roman" w:hAnsi="Times New Roman"/>
          <w:sz w:val="16"/>
          <w:szCs w:val="16"/>
          <w:color w:val="auto"/>
        </w:rPr>
        <w:t xml:space="preserve"> Includes accruals.</w:t>
      </w:r>
    </w:p>
    <w:p>
      <w:pPr>
        <w:sectPr>
          <w:pgSz w:w="11900" w:h="16838" w:orient="portrait"/>
          <w:cols w:equalWidth="0" w:num="1">
            <w:col w:w="11240"/>
          </w:cols>
          <w:pgMar w:left="320" w:top="9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20" w:type="dxa"/>
            <w:vAlign w:val="bottom"/>
          </w:tcPr>
          <w:p>
            <w:pPr>
              <w:spacing w:after="0"/>
              <w:rPr>
                <w:sz w:val="11"/>
                <w:szCs w:val="11"/>
                <w:color w:val="auto"/>
              </w:rPr>
            </w:pPr>
          </w:p>
        </w:tc>
        <w:tc>
          <w:tcPr>
            <w:tcW w:w="1320" w:type="dxa"/>
            <w:vAlign w:val="bottom"/>
            <w:gridSpan w:val="4"/>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14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1"/>
                <w:szCs w:val="21"/>
                <w:b w:val="1"/>
                <w:bCs w:val="1"/>
                <w:color w:val="auto"/>
                <w:vertAlign w:val="superscript"/>
              </w:rPr>
              <w:t>(a)</w:t>
            </w:r>
          </w:p>
        </w:tc>
        <w:tc>
          <w:tcPr>
            <w:tcW w:w="220" w:type="dxa"/>
            <w:vAlign w:val="bottom"/>
          </w:tcPr>
          <w:p>
            <w:pPr>
              <w:spacing w:after="0"/>
              <w:rPr>
                <w:sz w:val="11"/>
                <w:szCs w:val="11"/>
                <w:color w:val="auto"/>
              </w:rPr>
            </w:pPr>
          </w:p>
        </w:tc>
        <w:tc>
          <w:tcPr>
            <w:tcW w:w="108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43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4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175"/>
        </w:trPr>
        <w:tc>
          <w:tcPr>
            <w:tcW w:w="540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shown separately below</w:t>
            </w: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4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30"/>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4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75"/>
        </w:trPr>
        <w:tc>
          <w:tcPr>
            <w:tcW w:w="540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(loss) income attributable to noncontrolling interests and</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48"/>
        </w:trPr>
        <w:tc>
          <w:tcPr>
            <w:tcW w:w="54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Clearway Energy, Inc.</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4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3"/>
                <w:szCs w:val="23"/>
                <w:color w:val="auto"/>
                <w:vertAlign w:val="superscript"/>
              </w:rPr>
              <w:t>(b)</w:t>
            </w:r>
          </w:p>
        </w:tc>
        <w:tc>
          <w:tcPr>
            <w:tcW w:w="10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76"/>
        </w:trPr>
        <w:tc>
          <w:tcPr>
            <w:tcW w:w="2180" w:type="dxa"/>
            <w:vAlign w:val="bottom"/>
            <w:tcBorders>
              <w:bottom w:val="single" w:sz="8" w:color="auto"/>
            </w:tcBorders>
          </w:tcPr>
          <w:p>
            <w:pPr>
              <w:spacing w:after="0"/>
              <w:rPr>
                <w:sz w:val="15"/>
                <w:szCs w:val="15"/>
                <w:color w:val="auto"/>
              </w:rPr>
            </w:pPr>
          </w:p>
        </w:tc>
        <w:tc>
          <w:tcPr>
            <w:tcW w:w="2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434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 xml:space="preserve"> Includes eliminations.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34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vertAlign w:val="superscript"/>
              </w:rPr>
              <w:t>(b)</w:t>
            </w:r>
            <w:r>
              <w:rPr>
                <w:rFonts w:ascii="Times New Roman" w:cs="Times New Roman" w:eastAsia="Times New Roman" w:hAnsi="Times New Roman"/>
                <w:sz w:val="16"/>
                <w:szCs w:val="16"/>
                <w:color w:val="auto"/>
              </w:rPr>
              <w:t xml:space="preserve"> Includes accruals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10 — </w:t>
            </w:r>
            <w:r>
              <w:rPr>
                <w:rFonts w:ascii="Times New Roman" w:cs="Times New Roman" w:eastAsia="Times New Roman" w:hAnsi="Times New Roman"/>
                <w:sz w:val="18"/>
                <w:szCs w:val="18"/>
                <w:b w:val="1"/>
                <w:bCs w:val="1"/>
                <w:i w:val="1"/>
                <w:iCs w:val="1"/>
                <w:color w:val="auto"/>
              </w:rPr>
              <w:t>Income Taxes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income tax provision consisted of the following amounts: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72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6"/>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8"/>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29.4 %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For tax purposes, Clearway Energy LLC is treated as a partnership; therefore, the Company and CEG each record their respective share of taxable income or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 </w:t>
      </w:r>
      <w:r>
        <w:rPr>
          <w:rFonts w:ascii="Times New Roman" w:cs="Times New Roman" w:eastAsia="Times New Roman" w:hAnsi="Times New Roman"/>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transactions and relationships described elsewhere in the notes to the consolidated financial statements, certain subsidiaries of CEG provide services to the Company and its operating subsidiaries.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 This footnote should be read in conjunction with the complete description under Item 15 — Note 15,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color w:val="auto"/>
        </w:rPr>
        <w:t xml:space="preserve"> consolidated financial statements included in the Company’s 2024 Form 10-K.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the Company and Clearway Renewable Operation &amp; Maintenance LLC</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Various subsidiaries of the Company in the Renewables &amp; Storage segment are party to services agreements with Clearway Renewable Operation &amp; Maintenance LLC, or RENOM, a wholly-owned subsidiary of CEG, which provides operation and maintenance, or O&amp;M, services to these subsidiaries. The Company incurred total expenses for these services of $20 million and $18 million for the three months ended June 30, 2025 and 2024, respectively. The Company incurred total expenses for these services of $41 million and $37 million for the six months ended June 30, 2025 and 2024, respectively. Expenses for these services are included in cost of operations in the consolidated statements of operations. There was a balance of $9 million and $12 million due to RENOM as of June 30, 2025 and December 31, 2024,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Agreements by and between the Company and CEG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Various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$6 million for each of the three months ended June 30, 2025 and 2024. The Company incurred expenses under these agreements of $11 million and $12 million for the six months ended June 30, 2025 and 2024, respectively. Expenses for these services are included in cost of operations in the consolidated statements of operations. There was a balance of $3 million due to CEG as of both June 30, 2025 and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CEG Master Services Agreement</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along with certain of its subsidiaries, is a party to the CEG Master Services Agreement, pursuant to which CEG and certain of its affiliates or third-party service providers provide certain services to the Company. These services include operational and administrative services, including human resources, information systems, cybersecurity, external affairs, accounting, procurement and risk management services, and, effective January 1, 2025, internal audit, tax, legal and treasury services, in exchange for the payment of fees in respect of such services. Until January 1, 2025, the Company provided certain services to CEG under a separate Master Services Agreement, including accounting, internal audit, tax and treasury services, in exchange for the payment of fees in respect of such services. In addition, effective January 1, 2025, the Company directly bears all labor costs for certain employees of CEG who perform work on behalf of the Company.</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incurred net expenses under these agreements of $6 million and $2 million for the three months ended June 30, 2025 and 2024, respectively. The Company incurred net expenses under these agreements of $12 million and $3 million for the six months ended June 30, 2025 and 2024, respectively. Expenses for these services are included in cost of operations in the consolidated statements of operations. There was a balance of zero and $5 million due to CEG as of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jc w:val="right"/>
        <w:ind w:right="3160"/>
        <w:spacing w:after="0" w:line="466" w:lineRule="auto"/>
        <w:rPr>
          <w:sz w:val="20"/>
          <w:szCs w:val="20"/>
          <w:color w:val="auto"/>
        </w:rPr>
      </w:pPr>
      <w:r>
        <w:rPr>
          <w:rFonts w:ascii="Times New Roman" w:cs="Times New Roman" w:eastAsia="Times New Roman" w:hAnsi="Times New Roman"/>
          <w:sz w:val="17"/>
          <w:szCs w:val="17"/>
          <w:b w:val="1"/>
          <w:bCs w:val="1"/>
          <w:color w:val="auto"/>
        </w:rPr>
        <w:t xml:space="preserve">ITEM 2 — Management’s Discussion and Analysis of Financial Condition and the Results of Operations </w:t>
      </w:r>
      <w:r>
        <w:rPr>
          <w:rFonts w:ascii="Times New Roman" w:cs="Times New Roman" w:eastAsia="Times New Roman" w:hAnsi="Times New Roman"/>
          <w:sz w:val="17"/>
          <w:szCs w:val="17"/>
          <w:color w:val="auto"/>
        </w:rPr>
        <w:t>The following discussion analyzes the Company’s historical financial condition and results of operations.</w:t>
      </w:r>
    </w:p>
    <w:p>
      <w:pPr>
        <w:spacing w:after="0" w:line="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you read this discussion and analysis, refer to the Company’s consolidated financial statements to this Form 10-Q, which present the results of operations for the three and six months ended June 30, 2025 and 2024. Also refer to the Company’s 2024 Form 10-K, which includes detailed discussions of various items impacting the Company’s business, results of operations and financial condition.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discussion and analysis below has been organized as follows:</w:t>
      </w:r>
    </w:p>
    <w:p>
      <w:pPr>
        <w:spacing w:after="0" w:line="117" w:lineRule="exact"/>
        <w:rPr>
          <w:sz w:val="20"/>
          <w:szCs w:val="20"/>
          <w:color w:val="auto"/>
        </w:rPr>
      </w:pPr>
    </w:p>
    <w:p>
      <w:pPr>
        <w:ind w:left="980" w:right="80"/>
        <w:spacing w:after="0" w:line="281" w:lineRule="auto"/>
        <w:tabs>
          <w:tab w:leader="none" w:pos="1299"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Executive Summary, including a description of the business and significant events that are important to understanding the results of operations and financial condition;</w:t>
      </w:r>
    </w:p>
    <w:p>
      <w:pPr>
        <w:spacing w:after="0" w:line="1" w:lineRule="exact"/>
        <w:rPr>
          <w:rFonts w:ascii="Times New Roman" w:cs="Times New Roman" w:eastAsia="Times New Roman" w:hAnsi="Times New Roman"/>
          <w:sz w:val="18"/>
          <w:szCs w:val="18"/>
          <w:color w:val="231F20"/>
        </w:rPr>
      </w:pPr>
    </w:p>
    <w:p>
      <w:pPr>
        <w:ind w:left="980" w:right="80"/>
        <w:spacing w:after="0" w:line="281" w:lineRule="auto"/>
        <w:tabs>
          <w:tab w:leader="none" w:pos="129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Results of operations, including an explanation of significant differences between the periods in the specific line items of the consolidated statements of operations;</w:t>
      </w:r>
    </w:p>
    <w:p>
      <w:pPr>
        <w:spacing w:after="0" w:line="1" w:lineRule="exact"/>
        <w:rPr>
          <w:rFonts w:ascii="Times New Roman" w:cs="Times New Roman" w:eastAsia="Times New Roman" w:hAnsi="Times New Roman"/>
          <w:sz w:val="18"/>
          <w:szCs w:val="18"/>
          <w:color w:val="auto"/>
        </w:rPr>
      </w:pPr>
    </w:p>
    <w:p>
      <w:pPr>
        <w:ind w:left="980" w:right="100"/>
        <w:spacing w:after="0" w:line="281" w:lineRule="auto"/>
        <w:tabs>
          <w:tab w:leader="none" w:pos="1299"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condition addressing liquidity position, sources and uses of cash, capital resources and requirements, commitments and off-balance sheet arrangements;</w:t>
      </w:r>
    </w:p>
    <w:p>
      <w:pPr>
        <w:spacing w:after="0" w:line="1" w:lineRule="exact"/>
        <w:rPr>
          <w:rFonts w:ascii="Times New Roman" w:cs="Times New Roman" w:eastAsia="Times New Roman" w:hAnsi="Times New Roman"/>
          <w:sz w:val="18"/>
          <w:szCs w:val="18"/>
          <w:color w:val="231F20"/>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Known trends that may affect the Company’s results of operations and financial condition in the future; and</w:t>
      </w:r>
    </w:p>
    <w:p>
      <w:pPr>
        <w:spacing w:after="0" w:line="63" w:lineRule="exact"/>
        <w:rPr>
          <w:rFonts w:ascii="Times New Roman" w:cs="Times New Roman" w:eastAsia="Times New Roman" w:hAnsi="Times New Roman"/>
          <w:sz w:val="18"/>
          <w:szCs w:val="18"/>
          <w:color w:val="231F20"/>
        </w:rPr>
      </w:pPr>
    </w:p>
    <w:p>
      <w:pPr>
        <w:ind w:left="980" w:right="80"/>
        <w:spacing w:after="0" w:line="282" w:lineRule="auto"/>
        <w:tabs>
          <w:tab w:leader="none" w:pos="129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 which is equally owned by GIP and TotalEnergies.</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Company is one of the largest owners of clean energy generation assets in the U.S. The Company’s portfolio comprises approximately 12 GW of gross capacity in 27 states, including approximately 9.2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8"/>
          <w:szCs w:val="18"/>
          <w:color w:val="231F20"/>
        </w:rPr>
        <w:t>The majority</w:t>
      </w:r>
      <w:r>
        <w:rPr>
          <w:rFonts w:ascii="Times New Roman" w:cs="Times New Roman" w:eastAsia="Times New Roman" w:hAnsi="Times New Roman"/>
          <w:sz w:val="18"/>
          <w:szCs w:val="18"/>
          <w:color w:val="auto"/>
        </w:rPr>
        <w:t xml:space="preserve"> of the Company’s revenues are derived from long-term contractual arrangements for the output or capacity from these assets. The weighted average remaining contract duration of the Company’s Renewables &amp; Storage segment offtake agreements was approximately 11 years </w:t>
      </w:r>
      <w:r>
        <w:rPr>
          <w:rFonts w:ascii="Times New Roman" w:cs="Times New Roman" w:eastAsia="Times New Roman" w:hAnsi="Times New Roman"/>
          <w:sz w:val="18"/>
          <w:szCs w:val="18"/>
          <w:color w:val="231F20"/>
        </w:rPr>
        <w:t>as of</w:t>
      </w:r>
      <w:r>
        <w:rPr>
          <w:rFonts w:ascii="Times New Roman" w:cs="Times New Roman" w:eastAsia="Times New Roman" w:hAnsi="Times New Roman"/>
          <w:sz w:val="18"/>
          <w:szCs w:val="18"/>
          <w:color w:val="auto"/>
        </w:rPr>
        <w:t xml:space="preserve"> June 30, 2025 </w:t>
      </w:r>
      <w:r>
        <w:rPr>
          <w:rFonts w:ascii="Times New Roman" w:cs="Times New Roman" w:eastAsia="Times New Roman" w:hAnsi="Times New Roman"/>
          <w:sz w:val="18"/>
          <w:szCs w:val="18"/>
          <w:color w:val="231F20"/>
        </w:rPr>
        <w:t>based on CAFD.</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2025, the Company’s operating assets are comprised of the following facilities:</w:t>
      </w:r>
    </w:p>
    <w:p>
      <w:pPr>
        <w:spacing w:after="0" w:line="97" w:lineRule="exact"/>
        <w:rPr>
          <w:sz w:val="20"/>
          <w:szCs w:val="20"/>
          <w:color w:val="auto"/>
        </w:rPr>
      </w:pPr>
    </w:p>
    <w:tbl>
      <w:tblPr>
        <w:tblLayout w:type="fixed"/>
        <w:tblInd w:w="150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2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96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7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740" w:type="dxa"/>
            <w:vAlign w:val="bottom"/>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740" w:type="dxa"/>
            <w:vAlign w:val="bottom"/>
            <w:tcBorders>
              <w:top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Rated</w:t>
            </w:r>
          </w:p>
        </w:tc>
        <w:tc>
          <w:tcPr>
            <w:tcW w:w="1420" w:type="dxa"/>
            <w:vAlign w:val="bottom"/>
            <w:tcBorders>
              <w:top w:val="single" w:sz="8" w:color="auto"/>
            </w:tcBorders>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9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7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MW</w:t>
            </w:r>
          </w:p>
        </w:tc>
        <w:tc>
          <w:tcPr>
            <w:tcW w:w="1520" w:type="dxa"/>
            <w:vAlign w:val="bottom"/>
            <w:gridSpan w:val="2"/>
          </w:tcPr>
          <w:p>
            <w:pPr>
              <w:jc w:val="center"/>
              <w:ind w:left="255"/>
              <w:spacing w:after="0" w:line="233" w:lineRule="exact"/>
              <w:rPr>
                <w:sz w:val="20"/>
                <w:szCs w:val="20"/>
                <w:color w:val="auto"/>
              </w:rPr>
            </w:pPr>
            <w:r>
              <w:rPr>
                <w:rFonts w:ascii="Times New Roman" w:cs="Times New Roman" w:eastAsia="Times New Roman" w:hAnsi="Times New Roman"/>
                <w:sz w:val="27"/>
                <w:szCs w:val="27"/>
                <w:b w:val="1"/>
                <w:bCs w:val="1"/>
                <w:color w:val="auto"/>
                <w:w w:val="89"/>
                <w:vertAlign w:val="subscript"/>
              </w:rPr>
              <w:t>MW</w:t>
            </w:r>
            <w:r>
              <w:rPr>
                <w:rFonts w:ascii="Times New Roman" w:cs="Times New Roman" w:eastAsia="Times New Roman" w:hAnsi="Times New Roman"/>
                <w:sz w:val="10"/>
                <w:szCs w:val="10"/>
                <w:b w:val="1"/>
                <w:bCs w:val="1"/>
                <w:color w:val="auto"/>
                <w:w w:val="89"/>
              </w:rPr>
              <w:t xml:space="preserve"> (a)</w:t>
            </w:r>
          </w:p>
        </w:tc>
        <w:tc>
          <w:tcPr>
            <w:tcW w:w="274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3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Flexible Generation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Carlsbad</w:t>
            </w:r>
          </w:p>
        </w:tc>
        <w:tc>
          <w:tcPr>
            <w:tcW w:w="2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2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SDG&amp;E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r>
      <w:tr>
        <w:trPr>
          <w:trHeight w:val="20"/>
        </w:trPr>
        <w:tc>
          <w:tcPr>
            <w:tcW w:w="2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 Segundo</w:t>
            </w:r>
          </w:p>
        </w:tc>
        <w:tc>
          <w:tcPr>
            <w:tcW w:w="2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2027 - 2029</w:t>
            </w:r>
          </w:p>
        </w:tc>
      </w:tr>
      <w:tr>
        <w:trPr>
          <w:trHeight w:val="195"/>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GenConn Devon</w:t>
            </w:r>
          </w:p>
        </w:tc>
        <w:tc>
          <w:tcPr>
            <w:tcW w:w="2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r>
      <w:tr>
        <w:trPr>
          <w:trHeight w:val="210"/>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GenConn Middletown</w:t>
            </w:r>
          </w:p>
        </w:tc>
        <w:tc>
          <w:tcPr>
            <w:tcW w:w="2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w:t>
            </w:r>
          </w:p>
        </w:tc>
      </w:tr>
      <w:tr>
        <w:trPr>
          <w:trHeight w:val="195"/>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Marsh Landing</w:t>
            </w:r>
          </w:p>
        </w:tc>
        <w:tc>
          <w:tcPr>
            <w:tcW w:w="2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2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2026 - 2030</w:t>
            </w:r>
          </w:p>
        </w:tc>
      </w:tr>
      <w:tr>
        <w:trPr>
          <w:trHeight w:val="20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Walnut Creek</w:t>
            </w:r>
          </w:p>
        </w:tc>
        <w:tc>
          <w:tcPr>
            <w:tcW w:w="2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2026 - 2027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Flexible Generation</w:t>
            </w:r>
          </w:p>
        </w:tc>
        <w:tc>
          <w:tcPr>
            <w:tcW w:w="1900" w:type="dxa"/>
            <w:vAlign w:val="bottom"/>
          </w:tcPr>
          <w:p>
            <w:pPr>
              <w:spacing w:after="0"/>
              <w:rPr>
                <w:sz w:val="17"/>
                <w:szCs w:val="17"/>
                <w:color w:val="auto"/>
              </w:rPr>
            </w:pP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2,774</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2,584</w:t>
            </w:r>
          </w:p>
        </w:tc>
        <w:tc>
          <w:tcPr>
            <w:tcW w:w="25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Utility Scale Solar</w:t>
            </w: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Agua Caliente</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51 %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290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r>
      <w:tr>
        <w:trPr>
          <w:trHeight w:val="210"/>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Alpine</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66</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r>
      <w:tr>
        <w:trPr>
          <w:trHeight w:val="203"/>
        </w:trPr>
        <w:tc>
          <w:tcPr>
            <w:tcW w:w="330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Arica </w:t>
            </w:r>
            <w:r>
              <w:rPr>
                <w:rFonts w:ascii="Times New Roman" w:cs="Times New Roman" w:eastAsia="Times New Roman" w:hAnsi="Times New Roman"/>
                <w:sz w:val="21"/>
                <w:szCs w:val="21"/>
                <w:color w:val="auto"/>
                <w:vertAlign w:val="superscript"/>
              </w:rPr>
              <w:t>(b)</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40 %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263</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2026 - 2041</w:t>
            </w:r>
          </w:p>
        </w:tc>
      </w:tr>
      <w:tr>
        <w:trPr>
          <w:trHeight w:val="203"/>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Avenal</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50 %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45</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Avra Valley</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27</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Tucson Electric Power</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r>
      <w:tr>
        <w:trPr>
          <w:trHeight w:val="210"/>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Blythe</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21</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Borrego</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26</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SDG&amp;E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r>
      <w:tr>
        <w:trPr>
          <w:trHeight w:val="237"/>
        </w:trPr>
        <w:tc>
          <w:tcPr>
            <w:tcW w:w="3300" w:type="dxa"/>
            <w:vAlign w:val="bottom"/>
            <w:shd w:val="clear" w:color="auto" w:fill="CCEEFF"/>
          </w:tcPr>
          <w:p>
            <w:pPr>
              <w:ind w:left="120"/>
              <w:spacing w:after="0" w:line="237" w:lineRule="exact"/>
              <w:rPr>
                <w:sz w:val="20"/>
                <w:szCs w:val="20"/>
                <w:color w:val="auto"/>
              </w:rPr>
            </w:pPr>
            <w:r>
              <w:rPr>
                <w:rFonts w:ascii="Times New Roman" w:cs="Times New Roman" w:eastAsia="Times New Roman" w:hAnsi="Times New Roman"/>
                <w:sz w:val="14"/>
                <w:szCs w:val="14"/>
                <w:color w:val="auto"/>
              </w:rPr>
              <w:t xml:space="preserve">Buckthorn Solar </w:t>
            </w:r>
            <w:r>
              <w:rPr>
                <w:rFonts w:ascii="Times New Roman" w:cs="Times New Roman" w:eastAsia="Times New Roman" w:hAnsi="Times New Roman"/>
                <w:sz w:val="21"/>
                <w:szCs w:val="21"/>
                <w:color w:val="auto"/>
                <w:vertAlign w:val="superscript"/>
              </w:rPr>
              <w:t>(b)</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150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City of Georgetown, TX</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CVSR</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250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r>
      <w:tr>
        <w:trPr>
          <w:trHeight w:val="210"/>
        </w:trPr>
        <w:tc>
          <w:tcPr>
            <w:tcW w:w="330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Daggett 2 </w:t>
            </w:r>
            <w:r>
              <w:rPr>
                <w:rFonts w:ascii="Times New Roman" w:cs="Times New Roman" w:eastAsia="Times New Roman" w:hAnsi="Times New Roman"/>
                <w:sz w:val="21"/>
                <w:szCs w:val="21"/>
                <w:color w:val="auto"/>
                <w:vertAlign w:val="superscript"/>
              </w:rPr>
              <w:t>(b)</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182</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r>
      <w:tr>
        <w:trPr>
          <w:trHeight w:val="203"/>
        </w:trPr>
        <w:tc>
          <w:tcPr>
            <w:tcW w:w="330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Daggett 3 </w:t>
            </w:r>
            <w:r>
              <w:rPr>
                <w:rFonts w:ascii="Times New Roman" w:cs="Times New Roman" w:eastAsia="Times New Roman" w:hAnsi="Times New Roman"/>
                <w:sz w:val="21"/>
                <w:szCs w:val="21"/>
                <w:color w:val="auto"/>
                <w:vertAlign w:val="superscript"/>
              </w:rPr>
              <w:t>(b)</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300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2033 - 2038</w:t>
            </w:r>
          </w:p>
        </w:tc>
      </w:tr>
      <w:tr>
        <w:trPr>
          <w:trHeight w:val="203"/>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Desert Sunlight 250</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250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Desert Sunlight 300</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25 %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300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r>
      <w:tr>
        <w:trPr>
          <w:trHeight w:val="210"/>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Enterprise</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Escalante I</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210"/>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Escalante II</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Escalante III</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210"/>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Granite Mountain East</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Granite Mountain West</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50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210"/>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Iron Springs</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80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PacifiCorp</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r>
      <w:tr>
        <w:trPr>
          <w:trHeight w:val="19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Kansas South</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20</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PG&amp;E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r>
      <w:tr>
        <w:trPr>
          <w:trHeight w:val="210"/>
        </w:trPr>
        <w:tc>
          <w:tcPr>
            <w:tcW w:w="330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Mililani I </w:t>
            </w:r>
            <w:r>
              <w:rPr>
                <w:rFonts w:ascii="Times New Roman" w:cs="Times New Roman" w:eastAsia="Times New Roman" w:hAnsi="Times New Roman"/>
                <w:sz w:val="21"/>
                <w:szCs w:val="21"/>
                <w:color w:val="auto"/>
                <w:vertAlign w:val="superscript"/>
              </w:rPr>
              <w:t>(b)</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50 %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39</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r>
      <w:tr>
        <w:trPr>
          <w:trHeight w:val="203"/>
        </w:trPr>
        <w:tc>
          <w:tcPr>
            <w:tcW w:w="330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Oahu Solar </w:t>
            </w:r>
            <w:r>
              <w:rPr>
                <w:rFonts w:ascii="Times New Roman" w:cs="Times New Roman" w:eastAsia="Times New Roman" w:hAnsi="Times New Roman"/>
                <w:sz w:val="21"/>
                <w:szCs w:val="21"/>
                <w:color w:val="auto"/>
                <w:vertAlign w:val="superscript"/>
              </w:rPr>
              <w:t>(b)</w:t>
            </w:r>
          </w:p>
        </w:tc>
        <w:tc>
          <w:tcPr>
            <w:tcW w:w="19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61</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2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r>
      <w:tr>
        <w:trPr>
          <w:trHeight w:val="203"/>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Roadrunner</w:t>
            </w:r>
          </w:p>
        </w:tc>
        <w:tc>
          <w:tcPr>
            <w:tcW w:w="19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100 %</w:t>
            </w:r>
          </w:p>
        </w:tc>
        <w:tc>
          <w:tcPr>
            <w:tcW w:w="112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20</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El Paso Electric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gridSpan w:val="2"/>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Rated</w:t>
            </w:r>
          </w:p>
        </w:tc>
        <w:tc>
          <w:tcPr>
            <w:tcW w:w="7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2980" w:type="dxa"/>
            <w:vAlign w:val="bottom"/>
            <w:tcBorders>
              <w:bottom w:val="single" w:sz="8" w:color="auto"/>
            </w:tcBorders>
            <w:gridSpan w:val="2"/>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40" w:type="dxa"/>
            <w:vAlign w:val="bottom"/>
            <w:tcBorders>
              <w:bottom w:val="single" w:sz="8" w:color="auto"/>
            </w:tcBorders>
          </w:tcPr>
          <w:p>
            <w:pPr>
              <w:jc w:val="right"/>
              <w:ind w:right="1407"/>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20" w:type="dxa"/>
            <w:vAlign w:val="bottom"/>
          </w:tcPr>
          <w:p>
            <w:pPr>
              <w:spacing w:after="0"/>
              <w:rPr>
                <w:sz w:val="17"/>
                <w:szCs w:val="17"/>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MW</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09"/>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MW</w:t>
            </w:r>
            <w:r>
              <w:rPr>
                <w:rFonts w:ascii="Times New Roman" w:cs="Times New Roman" w:eastAsia="Times New Roman" w:hAnsi="Times New Roman"/>
                <w:sz w:val="10"/>
                <w:szCs w:val="10"/>
                <w:b w:val="1"/>
                <w:bCs w:val="1"/>
                <w:color w:val="auto"/>
              </w:rPr>
              <w:t xml:space="preserve"> (a)</w:t>
            </w:r>
          </w:p>
        </w:tc>
        <w:tc>
          <w:tcPr>
            <w:tcW w:w="100" w:type="dxa"/>
            <w:vAlign w:val="bottom"/>
          </w:tcPr>
          <w:p>
            <w:pPr>
              <w:spacing w:after="0"/>
              <w:rPr>
                <w:sz w:val="17"/>
                <w:szCs w:val="17"/>
                <w:color w:val="auto"/>
              </w:rPr>
            </w:pPr>
          </w:p>
        </w:tc>
        <w:tc>
          <w:tcPr>
            <w:tcW w:w="28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23"/>
        </w:trPr>
        <w:tc>
          <w:tcPr>
            <w:tcW w:w="366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21"/>
                <w:szCs w:val="21"/>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2035 - 2047</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 High Desert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Texas Solar Nova 1 </w:t>
            </w:r>
            <w:r>
              <w:rPr>
                <w:rFonts w:ascii="Times New Roman" w:cs="Times New Roman" w:eastAsia="Times New Roman" w:hAnsi="Times New Roman"/>
                <w:sz w:val="21"/>
                <w:szCs w:val="21"/>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7"/>
                <w:szCs w:val="17"/>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Verizon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Texas Solar Nova 2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Verizon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Victory Pass </w:t>
            </w:r>
            <w:r>
              <w:rPr>
                <w:rFonts w:ascii="Times New Roman" w:cs="Times New Roman" w:eastAsia="Times New Roman" w:hAnsi="Times New Roman"/>
                <w:sz w:val="21"/>
                <w:szCs w:val="21"/>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7"/>
                <w:szCs w:val="17"/>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Waiawa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195"/>
        </w:trPr>
        <w:tc>
          <w:tcPr>
            <w:tcW w:w="3660" w:type="dxa"/>
            <w:vAlign w:val="bottom"/>
            <w:gridSpan w:val="2"/>
          </w:tcPr>
          <w:p>
            <w:pPr>
              <w:jc w:val="right"/>
              <w:ind w:right="1620"/>
              <w:spacing w:after="0"/>
              <w:rPr>
                <w:sz w:val="20"/>
                <w:szCs w:val="20"/>
                <w:color w:val="auto"/>
              </w:rPr>
            </w:pPr>
            <w:r>
              <w:rPr>
                <w:rFonts w:ascii="Times New Roman" w:cs="Times New Roman" w:eastAsia="Times New Roman" w:hAnsi="Times New Roman"/>
                <w:sz w:val="16"/>
                <w:szCs w:val="16"/>
                <w:b w:val="1"/>
                <w:bCs w:val="1"/>
                <w:i w:val="1"/>
                <w:iCs w:val="1"/>
                <w:color w:val="auto"/>
              </w:rPr>
              <w:t>Total Utility Scale Solar</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Utility Scale BESS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Arica </w:t>
            </w:r>
            <w:r>
              <w:rPr>
                <w:rFonts w:ascii="Times New Roman" w:cs="Times New Roman" w:eastAsia="Times New Roman" w:hAnsi="Times New Roman"/>
                <w:sz w:val="21"/>
                <w:szCs w:val="21"/>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7"/>
                <w:szCs w:val="17"/>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2039 - 2041</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Daggett 2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Daggett 3 </w:t>
            </w:r>
            <w:r>
              <w:rPr>
                <w:rFonts w:ascii="Times New Roman" w:cs="Times New Roman" w:eastAsia="Times New Roman" w:hAnsi="Times New Roman"/>
                <w:sz w:val="21"/>
                <w:szCs w:val="21"/>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7"/>
                <w:szCs w:val="17"/>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2033 - 2038</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Mililani I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230"/>
        </w:trPr>
        <w:tc>
          <w:tcPr>
            <w:tcW w:w="36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21"/>
                <w:szCs w:val="21"/>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02"/>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Victory Pass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Waiawa </w:t>
            </w:r>
            <w:r>
              <w:rPr>
                <w:rFonts w:ascii="Times New Roman" w:cs="Times New Roman" w:eastAsia="Times New Roman" w:hAnsi="Times New Roman"/>
                <w:sz w:val="21"/>
                <w:szCs w:val="21"/>
                <w:color w:val="auto"/>
                <w:vertAlign w:val="superscript"/>
              </w:rPr>
              <w:t>(b)</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2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196"/>
        </w:trPr>
        <w:tc>
          <w:tcPr>
            <w:tcW w:w="3660" w:type="dxa"/>
            <w:vAlign w:val="bottom"/>
            <w:gridSpan w:val="2"/>
            <w:shd w:val="clear" w:color="auto" w:fill="CCEEFF"/>
          </w:tcPr>
          <w:p>
            <w:pPr>
              <w:jc w:val="right"/>
              <w:ind w:right="1600"/>
              <w:spacing w:after="0"/>
              <w:rPr>
                <w:sz w:val="20"/>
                <w:szCs w:val="20"/>
                <w:color w:val="auto"/>
              </w:rPr>
            </w:pPr>
            <w:r>
              <w:rPr>
                <w:rFonts w:ascii="Times New Roman" w:cs="Times New Roman" w:eastAsia="Times New Roman" w:hAnsi="Times New Roman"/>
                <w:sz w:val="16"/>
                <w:szCs w:val="16"/>
                <w:b w:val="1"/>
                <w:bCs w:val="1"/>
                <w:i w:val="1"/>
                <w:iCs w:val="1"/>
                <w:color w:val="auto"/>
              </w:rPr>
              <w:t>Total Utility Scale BESS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Distributed Solar</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DGPV Funds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2030 - 2044</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Solar Power Partners (SPP)</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2026 - 2037</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DG Facilities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2025 - 2039</w:t>
            </w:r>
          </w:p>
        </w:tc>
        <w:tc>
          <w:tcPr>
            <w:tcW w:w="0" w:type="dxa"/>
            <w:vAlign w:val="bottom"/>
          </w:tcPr>
          <w:p>
            <w:pPr>
              <w:spacing w:after="0"/>
              <w:rPr>
                <w:sz w:val="1"/>
                <w:szCs w:val="1"/>
                <w:color w:val="auto"/>
              </w:rPr>
            </w:pPr>
          </w:p>
        </w:tc>
      </w:tr>
      <w:tr>
        <w:trPr>
          <w:trHeight w:val="195"/>
        </w:trPr>
        <w:tc>
          <w:tcPr>
            <w:tcW w:w="36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Distributed Solar</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Wind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Alta I</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II</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Alta III</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IV</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Alta V</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X</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Alta XI</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37"/>
        </w:trPr>
        <w:tc>
          <w:tcPr>
            <w:tcW w:w="3660" w:type="dxa"/>
            <w:vAlign w:val="bottom"/>
            <w:gridSpan w:val="2"/>
            <w:shd w:val="clear" w:color="auto" w:fill="CCEEFF"/>
          </w:tcPr>
          <w:p>
            <w:pPr>
              <w:ind w:left="120"/>
              <w:spacing w:after="0" w:line="237" w:lineRule="exact"/>
              <w:rPr>
                <w:sz w:val="20"/>
                <w:szCs w:val="20"/>
                <w:color w:val="auto"/>
              </w:rPr>
            </w:pPr>
            <w:r>
              <w:rPr>
                <w:rFonts w:ascii="Times New Roman" w:cs="Times New Roman" w:eastAsia="Times New Roman" w:hAnsi="Times New Roman"/>
                <w:sz w:val="14"/>
                <w:szCs w:val="14"/>
                <w:color w:val="auto"/>
              </w:rPr>
              <w:t xml:space="preserve">Black Rock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Toyota and Google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Broken Bow</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Buffalo Bear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Western Farmers Electric Co-operative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03"/>
        </w:trPr>
        <w:tc>
          <w:tcPr>
            <w:tcW w:w="3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Cedar Creek </w:t>
            </w:r>
            <w:r>
              <w:rPr>
                <w:rFonts w:ascii="Times New Roman" w:cs="Times New Roman" w:eastAsia="Times New Roman" w:hAnsi="Times New Roman"/>
                <w:sz w:val="21"/>
                <w:szCs w:val="21"/>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PacifiCorp</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Cedro Hill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CPS Energy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Crofton Bluffs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Dan’s Mountain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Constellation Energy Generation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230"/>
        </w:trPr>
        <w:tc>
          <w:tcPr>
            <w:tcW w:w="36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Elbow Creek </w:t>
            </w:r>
            <w:r>
              <w:rPr>
                <w:rFonts w:ascii="Times New Roman" w:cs="Times New Roman" w:eastAsia="Times New Roman" w:hAnsi="Times New Roman"/>
                <w:sz w:val="21"/>
                <w:szCs w:val="21"/>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Elkhorn Ridge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66.7 %</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Forward</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Constellation NewEnergy, Inc.</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Goat Wind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Dow Pipeline Company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230"/>
        </w:trPr>
        <w:tc>
          <w:tcPr>
            <w:tcW w:w="36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Langford </w:t>
            </w:r>
            <w:r>
              <w:rPr>
                <w:rFonts w:ascii="Times New Roman" w:cs="Times New Roman" w:eastAsia="Times New Roman" w:hAnsi="Times New Roman"/>
                <w:sz w:val="21"/>
                <w:szCs w:val="21"/>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Goldman Sachs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Laredo Ridge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Lookout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Southern Maryland Electric Cooperative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Mesquite Sky </w:t>
            </w:r>
            <w:r>
              <w:rPr>
                <w:rFonts w:ascii="Times New Roman" w:cs="Times New Roman" w:eastAsia="Times New Roman" w:hAnsi="Times New Roman"/>
                <w:sz w:val="21"/>
                <w:szCs w:val="21"/>
                <w:color w:val="auto"/>
                <w:vertAlign w:val="superscript"/>
              </w:rPr>
              <w:t>(b)</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2033 - 2036</w:t>
            </w:r>
          </w:p>
        </w:tc>
        <w:tc>
          <w:tcPr>
            <w:tcW w:w="0" w:type="dxa"/>
            <w:vAlign w:val="bottom"/>
          </w:tcPr>
          <w:p>
            <w:pPr>
              <w:spacing w:after="0"/>
              <w:rPr>
                <w:sz w:val="1"/>
                <w:szCs w:val="1"/>
                <w:color w:val="auto"/>
              </w:rPr>
            </w:pPr>
          </w:p>
        </w:tc>
      </w:tr>
      <w:tr>
        <w:trPr>
          <w:trHeight w:val="229"/>
        </w:trPr>
        <w:tc>
          <w:tcPr>
            <w:tcW w:w="36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Mesquite Star </w:t>
            </w:r>
            <w:r>
              <w:rPr>
                <w:rFonts w:ascii="Times New Roman" w:cs="Times New Roman" w:eastAsia="Times New Roman" w:hAnsi="Times New Roman"/>
                <w:sz w:val="21"/>
                <w:szCs w:val="21"/>
                <w:color w:val="auto"/>
                <w:vertAlign w:val="superscript"/>
              </w:rPr>
              <w:t>(b)</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2032 - 2035</w:t>
            </w: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Mountain Wind 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PacifiCorp</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88"/>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Mountain Wind 2</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PacifiCorp</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Rated</w:t>
            </w:r>
          </w:p>
        </w:tc>
        <w:tc>
          <w:tcPr>
            <w:tcW w:w="7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3000" w:type="dxa"/>
            <w:vAlign w:val="bottom"/>
            <w:tcBorders>
              <w:bottom w:val="single" w:sz="8" w:color="auto"/>
            </w:tcBorders>
            <w:gridSpan w:val="2"/>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MW</w:t>
            </w:r>
          </w:p>
        </w:tc>
        <w:tc>
          <w:tcPr>
            <w:tcW w:w="760" w:type="dxa"/>
            <w:vAlign w:val="bottom"/>
          </w:tcPr>
          <w:p>
            <w:pPr>
              <w:jc w:val="right"/>
              <w:ind w:right="209"/>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MW</w:t>
            </w:r>
            <w:r>
              <w:rPr>
                <w:rFonts w:ascii="Times New Roman" w:cs="Times New Roman" w:eastAsia="Times New Roman" w:hAnsi="Times New Roman"/>
                <w:sz w:val="10"/>
                <w:szCs w:val="10"/>
                <w:b w:val="1"/>
                <w:bCs w:val="1"/>
                <w:color w:val="auto"/>
              </w:rPr>
              <w:t xml:space="preserve"> (a)</w:t>
            </w:r>
          </w:p>
        </w:tc>
        <w:tc>
          <w:tcPr>
            <w:tcW w:w="100" w:type="dxa"/>
            <w:vAlign w:val="bottom"/>
          </w:tcPr>
          <w:p>
            <w:pPr>
              <w:spacing w:after="0"/>
              <w:rPr>
                <w:sz w:val="17"/>
                <w:szCs w:val="17"/>
                <w:color w:val="auto"/>
              </w:rPr>
            </w:pPr>
          </w:p>
        </w:tc>
        <w:tc>
          <w:tcPr>
            <w:tcW w:w="300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6"/>
        </w:trPr>
        <w:tc>
          <w:tcPr>
            <w:tcW w:w="3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Mt. Storm</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top w:val="single" w:sz="8" w:color="CCEEFF"/>
            </w:tcBorders>
            <w:shd w:val="clear" w:color="auto" w:fill="CCEEFF"/>
          </w:tcPr>
          <w:p>
            <w:pPr>
              <w:spacing w:after="0"/>
              <w:rPr>
                <w:sz w:val="17"/>
                <w:szCs w:val="17"/>
                <w:color w:val="auto"/>
              </w:rPr>
            </w:pPr>
          </w:p>
        </w:tc>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Citigroup</w:t>
            </w: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5"/>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Ocotillo</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6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Pinnacle </w:t>
            </w:r>
            <w:r>
              <w:rPr>
                <w:rFonts w:ascii="Times New Roman" w:cs="Times New Roman" w:eastAsia="Times New Roman" w:hAnsi="Times New Roman"/>
                <w:sz w:val="21"/>
                <w:szCs w:val="21"/>
                <w:color w:val="auto"/>
                <w:vertAlign w:val="superscript"/>
              </w:rPr>
              <w:t>(b)</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Maryland Department of General Services and</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8"/>
        </w:trPr>
        <w:tc>
          <w:tcPr>
            <w:tcW w:w="3620" w:type="dxa"/>
            <w:vAlign w:val="bottom"/>
            <w:gridSpan w:val="2"/>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University System of Maryland</w:t>
            </w: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Rattlesnake </w:t>
            </w:r>
            <w:r>
              <w:rPr>
                <w:rFonts w:ascii="Times New Roman" w:cs="Times New Roman" w:eastAsia="Times New Roman" w:hAnsi="Times New Roman"/>
                <w:sz w:val="21"/>
                <w:szCs w:val="21"/>
                <w:color w:val="auto"/>
                <w:vertAlign w:val="superscript"/>
              </w:rPr>
              <w:t>(b) (c)</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Avista Corporation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San Juan Mesa</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195"/>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Sleeping Bear</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Public Service Company of Oklahoma</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South Trent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AEP Energy Partners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95"/>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Spanish Fork</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PacifiCorp</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Spring Canyon II</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95"/>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Spring Canyon III</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Taloga</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Oklahoma Gas &amp; Electric</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5"/>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Tuolumne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Turlock Irrigation District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Wildorado </w:t>
            </w:r>
            <w:r>
              <w:rPr>
                <w:rFonts w:ascii="Times New Roman" w:cs="Times New Roman" w:eastAsia="Times New Roman" w:hAnsi="Times New Roman"/>
                <w:sz w:val="21"/>
                <w:szCs w:val="21"/>
                <w:color w:val="auto"/>
                <w:vertAlign w:val="superscript"/>
              </w:rPr>
              <w:t>(b)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95"/>
        </w:trPr>
        <w:tc>
          <w:tcPr>
            <w:tcW w:w="36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Wind</w:t>
            </w: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3,972</w:t>
            </w:r>
          </w:p>
        </w:tc>
        <w:tc>
          <w:tcPr>
            <w:tcW w:w="100" w:type="dxa"/>
            <w:vAlign w:val="bottom"/>
            <w:tcBorders>
              <w:bottom w:val="single" w:sz="8" w:color="CCEEFF"/>
            </w:tcBorders>
          </w:tcPr>
          <w:p>
            <w:pPr>
              <w:spacing w:after="0"/>
              <w:rPr>
                <w:sz w:val="16"/>
                <w:szCs w:val="16"/>
                <w:color w:val="auto"/>
              </w:rPr>
            </w:pPr>
          </w:p>
        </w:tc>
        <w:tc>
          <w:tcPr>
            <w:tcW w:w="2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Clearway Energy, Inc.</w:t>
            </w: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9,308</w:t>
            </w:r>
          </w:p>
        </w:tc>
        <w:tc>
          <w:tcPr>
            <w:tcW w:w="10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Net capacity represents the maximum, or rated, generating or storage capacity of the facility multiplied by the Company’s percentage ownership in the facility as of June 30, 2025.</w:t>
      </w:r>
    </w:p>
    <w:p>
      <w:pPr>
        <w:spacing w:after="0" w:line="57" w:lineRule="exact"/>
        <w:rPr>
          <w:rFonts w:ascii="Times New Roman" w:cs="Times New Roman" w:eastAsia="Times New Roman" w:hAnsi="Times New Roman"/>
          <w:sz w:val="20"/>
          <w:szCs w:val="20"/>
          <w:color w:val="auto"/>
          <w:vertAlign w:val="superscript"/>
        </w:rPr>
      </w:pPr>
    </w:p>
    <w:p>
      <w:pPr>
        <w:ind w:left="260" w:hanging="171"/>
        <w:spacing w:after="0" w:line="189" w:lineRule="auto"/>
        <w:tabs>
          <w:tab w:leader="none" w:pos="26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 xml:space="preserve">Facilities are part of tax equity arrangements, as further described in Note 4, </w:t>
      </w:r>
      <w:r>
        <w:rPr>
          <w:rFonts w:ascii="Times New Roman" w:cs="Times New Roman" w:eastAsia="Times New Roman" w:hAnsi="Times New Roman"/>
          <w:sz w:val="12"/>
          <w:szCs w:val="12"/>
          <w:i w:val="1"/>
          <w:iCs w:val="1"/>
          <w:color w:val="auto"/>
        </w:rPr>
        <w:t>Investments Accounted for by the Equity Method and Variable Interest Entities</w:t>
      </w:r>
      <w:r>
        <w:rPr>
          <w:rFonts w:ascii="Times New Roman" w:cs="Times New Roman" w:eastAsia="Times New Roman" w:hAnsi="Times New Roman"/>
          <w:sz w:val="12"/>
          <w:szCs w:val="12"/>
          <w:color w:val="auto"/>
        </w:rPr>
        <w:t>.</w:t>
      </w:r>
    </w:p>
    <w:p>
      <w:pPr>
        <w:spacing w:after="0" w:line="57" w:lineRule="exact"/>
        <w:rPr>
          <w:rFonts w:ascii="Times New Roman" w:cs="Times New Roman" w:eastAsia="Times New Roman" w:hAnsi="Times New Roman"/>
          <w:sz w:val="19"/>
          <w:szCs w:val="19"/>
          <w:color w:val="auto"/>
          <w:vertAlign w:val="superscript"/>
        </w:rPr>
      </w:pPr>
    </w:p>
    <w:p>
      <w:pPr>
        <w:ind w:left="240" w:hanging="151"/>
        <w:spacing w:after="0" w:line="189" w:lineRule="auto"/>
        <w:tabs>
          <w:tab w:leader="none" w:pos="24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Rattlesnake has a deliverable capacity of 144 MW.</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Third-Party Acquisitions</w:t>
      </w:r>
    </w:p>
    <w:p>
      <w:pPr>
        <w:spacing w:after="0" w:line="173" w:lineRule="exact"/>
        <w:rPr>
          <w:sz w:val="20"/>
          <w:szCs w:val="20"/>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July 16, 2025, the Company, through its indirect subsidiary, Catalina Solar Investment LLC, acquired Catalina Solar Lessee Holdco LLC, which leases and operates the Catalina solar facility, from a third-party for approximately $127 million. The Company estimates that its net capital investment in Catalina will be $125 million after factoring in cash acquired and estimated transaction expenses.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transaction.</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29, 2025, the Company, through its indirect subsidiary, Washington Wind LLC, acquired the Tuolumne wind facility from an investment-grade regulated entity for approximately $210 million, which excludes $1 million in transaction expenses incurred in connection with the acquisition during the six months ended June 30, 2025. The Company’s net capital investment in Tuolumne was $59 million, and the acquisition was also funded through the issuance of a $163 million term loan.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for further discussion of the transactions.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Drop Down Transactions</w:t>
      </w:r>
    </w:p>
    <w:p>
      <w:pPr>
        <w:spacing w:after="0" w:line="173" w:lineRule="exact"/>
        <w:rPr>
          <w:sz w:val="20"/>
          <w:szCs w:val="20"/>
          <w:color w:val="auto"/>
        </w:rPr>
      </w:pPr>
    </w:p>
    <w:p>
      <w:pPr>
        <w:jc w:val="both"/>
        <w:ind w:left="660" w:hanging="328"/>
        <w:spacing w:after="0" w:line="253" w:lineRule="auto"/>
        <w:tabs>
          <w:tab w:leader="none" w:pos="655"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On June 10, 2025, the Company, through its indirect subsidiary, Pine Forest CE Class A Owner LLC, acquired the Class A membership interests in Pine Forest TargetCo, a partnership and the indirect owner of the Pine Forest solar and BESS facility, from Clearway Renew for initial cash consideration of $18 million. Simultaneously, a third-party cash equity investor acquired the Class B membership interests in Pine Forest TargetCo from Clearway Renew for initial cash consideration of $36 million. Also on June 10, 2025, the Company, through its indirect subsidiary, Pine Forest TE Class A, contributed $9 million to acquire the Class A membership interests in Pine Forest TE HoldCo LLC. At substantial completion, which is expected to occur in the second half of 2025, the Company estimates it will pay an additional $72 million to Clearway Renew for its Class A membership interests in Pine Forest TargetCo and will contribute an additional $37 million for its Class A membership interests in Pine Forest TE HoldCo LLC. In addition, the third-party cash equity investor in Pine Forest TargetCo is expected to contribute an additional $144 million. The Company estimates that its total capital investment in Pine Forest TargetCo will be $136 million, excluding the impact of any closing adjustments noted in the purchase agreement.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transaction.</w:t>
      </w:r>
    </w:p>
    <w:p>
      <w:pPr>
        <w:spacing w:after="0" w:line="140" w:lineRule="exact"/>
        <w:rPr>
          <w:rFonts w:ascii="Times New Roman" w:cs="Times New Roman" w:eastAsia="Times New Roman" w:hAnsi="Times New Roman"/>
          <w:sz w:val="18"/>
          <w:szCs w:val="18"/>
          <w:i w:val="1"/>
          <w:iCs w:val="1"/>
          <w:color w:val="auto"/>
        </w:rPr>
      </w:pPr>
    </w:p>
    <w:p>
      <w:pPr>
        <w:jc w:val="both"/>
        <w:ind w:left="660" w:hanging="328"/>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29, 2025, the Company, through its indirect subsidiary, LV-Daggett Parent Holdco LLC, acquired Luna Valley Class B, the indirect owner of the Luna Valley solar facility, from Clearway Renew for initial cash consideration of $18 million. At substantial completion, which is expected to occur in the second half of 2025, the Company estimates it will pay an additional $72 million to Clearway Renew. The Company estimates that its total capital investment in Luna Valley Class B will be $90 million, excluding the impact of any closing adjustments noted in the purchase agreement.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transaction.</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29, 2025, the Company, through its indirect subsidiary, LV-Daggett Parent Holdco LLC, acquired Daggett 1 Class B, the indirect owner of the Daggett 1 BESS facility, from Clearway Renew for initial cash consideration of $11 million. At substantial completion, which is expected to occur in the second half of 2025, the Company estimates it will pay an additional $42 million to Clearway Renew. The Company estimates that its total capital investment in Daggett 1 Class B will be $53 million, excluding the impact of any closing adjustments noted in the purchase agreement.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transaction.</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March 20, 2025, the Company, through its indirect subsidiary, Rosamond South Investment LLC, acquired the Class A membership interests in Rosie South TargetCo, a partnership and the indirect owner of the Rosamond South I solar and BESS facility, from Clearway Renew for initial cash consideration of $4 million. Simultaneously, a third-party cash equity investor acquired the Class B membership interests in Rosie South TargetCo from Clearway Renew for initial cash consideration of $10 million. At substantial completion, which is expected to occur in the second half of 2025, the Company estimates it will pay an additional $17 million to Clearway Renew and the third-party cash equity investor will contribute an additional $41 million. The Company estimates that its total capital investment in Rosie South TargetCo will be $21 million, excluding the impact of any closing adjustments noted in the purchase agreement.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for further discussion of the transaction.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jc w:val="both"/>
        <w:ind w:left="660" w:hanging="328"/>
        <w:spacing w:after="0" w:line="253"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2025, the Company, through an indirect subsidiary, entered into an agreement with Clearway Renew to sell its membership interests in Mt. Storm, a 264 MW wind facility that is located in Grant County, West Virginia, for $121 million in cash consideration in order for Clearway Renew to repower the facility, which will occur in two phases. The consummation of the transaction is subject to customary conditions and third-party approvals and is expected in the second half of 2025. Additionally, the agreement contains an exclusive option for the Company to purchase the Class B membership interests in the tax equity fund that, upon mechanical completion of the first phase of the repowering of the facility, will own Mt. Storm. Mechanical completion of the first phase of the Mt. Storm repowering is expected to occur in the second half of 2026 with the second phase of the repowering expected to occur in the second half of 2027. The repowering of the facility is expected to increase the facility’s capacity to 335 MW. Upon achieving repowering commercial operations, which is expected to occur in 2027, the facility will sell power to Microsoft under a 20-year PPA. On May 1, 2025, the Company bought down a portion of Mt. Storm’s current contract to sell power to a counterparty through a hedge agreement and paid approximately $35 million to the hedge counterparty to reduce the contract by approximately 50%. On July 22, 2025, the Company paid approximately $39 million to the hedge counterparty to buy out the remaining contract.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 Agreements</w:t>
      </w:r>
    </w:p>
    <w:p>
      <w:pPr>
        <w:spacing w:after="0" w:line="173" w:lineRule="exact"/>
        <w:rPr>
          <w:sz w:val="20"/>
          <w:szCs w:val="20"/>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14, 2025, the Company contracted with a load serving entity to sell approximately 75 MW of El Segundo’s RA commencing in August 2026 and ending in December 2029. On February 4, 2025, the Company contracted with an additional load serving entity to sell approximately 197 MW of El Segundo’s RA commencing in August 2026 and ending in December 2029. El Segundo is now contracted for 100% of its capacity through 2027 and approximately 50% of its capacity through 2028.</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Facility-level Financing Activities</w:t>
      </w:r>
    </w:p>
    <w:p>
      <w:pPr>
        <w:spacing w:after="0" w:line="173" w:lineRule="exact"/>
        <w:rPr>
          <w:sz w:val="20"/>
          <w:szCs w:val="20"/>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2025 Drop Downs of Rosamond South I, Luna Valley, Daggett 1 and Pine Forest, the Company assumed non-recourse facility-level debt.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for further discussion of the non-recourse facility-level debt associated with each facility.</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21, 2025, when the Dan’s Mountain wind facility reached substantial completion, the Company paid $36 million to Clearway Renew as additional purchase price in connection with the Company’s acquisition of the Class A membership interests in Dan’s Mountain TargetCo on November 18, 2024. Also, on May 21, 2025, a third-party cash equity investor contributed $45 million to acquire the Class B membership interests in Dan’s Mountain TargetCo from Clearway Renew and the tax equity investor contributed an additional $90 million. The Company utilized the combined proceeds to repay the cash equity bridge loan, to repay the tax equity bridge loan and to pay associated fees with the remaining proceeds distributed to CEG. The Company’s total capital investment in Dan’s Mountain was $43 million.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for further discussion of the transaction.</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29, 2025, in order to partially fund the third-party acquisition of the Tuolumne wind facility, the Company entered into a financing agreement, which included the issuance of a $163 million term loan, as well as $22 million in letters of credit in support of debt service and facility obligations.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for further discussion of the financing agreement.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9, 2025, the Company, through its indirect subsidiary, Buckthorn Solar Portfolio LLC, refinanced its credit agreement, which was scheduled to mature in May 2025, resulting in the issuance of a $104 million term loan facility, as well as $22 million in letters of credit in support of debt service and facility obligations. The Company utilized the proceeds from the term loan and existing sources of liquidity to pay off the existing debt.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for further discussion of the refinanced credit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state and local environmental laws have historically become more stringent over time, although this trend could change in the future.</w:t>
      </w:r>
    </w:p>
    <w:p>
      <w:pPr>
        <w:spacing w:after="0" w:line="131"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Company’s environmental matters are further described in the Company’s 2024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3"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following disclosures about the Company’s regulatory matters provide an update to, and should be read in conjunction with,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Regulatory Matters </w:t>
      </w:r>
      <w:r>
        <w:rPr>
          <w:rFonts w:ascii="Times New Roman" w:cs="Times New Roman" w:eastAsia="Times New Roman" w:hAnsi="Times New Roman"/>
          <w:sz w:val="18"/>
          <w:szCs w:val="18"/>
          <w:color w:val="auto"/>
        </w:rPr>
        <w:t>and Item 1A,</w:t>
      </w:r>
      <w:r>
        <w:rPr>
          <w:rFonts w:ascii="Times New Roman" w:cs="Times New Roman" w:eastAsia="Times New Roman" w:hAnsi="Times New Roman"/>
          <w:sz w:val="18"/>
          <w:szCs w:val="18"/>
          <w:i w:val="1"/>
          <w:iCs w:val="1"/>
          <w:color w:val="auto"/>
        </w:rPr>
        <w:t xml:space="preserve"> Risk Factors</w:t>
      </w:r>
      <w:r>
        <w:rPr>
          <w:rFonts w:ascii="Times New Roman" w:cs="Times New Roman" w:eastAsia="Times New Roman" w:hAnsi="Times New Roman"/>
          <w:sz w:val="18"/>
          <w:szCs w:val="18"/>
          <w:color w:val="auto"/>
        </w:rPr>
        <w:t>, of the Company’s 2024 Form 10-K</w:t>
      </w:r>
      <w:r>
        <w:rPr>
          <w:rFonts w:ascii="Times New Roman" w:cs="Times New Roman" w:eastAsia="Times New Roman" w:hAnsi="Times New Roman"/>
          <w:sz w:val="18"/>
          <w:szCs w:val="18"/>
          <w:i w:val="1"/>
          <w:iCs w:val="1"/>
          <w:color w:val="auto"/>
        </w:rPr>
        <w:t>.</w:t>
      </w:r>
    </w:p>
    <w:p>
      <w:pPr>
        <w:spacing w:after="0" w:line="10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March 6, 2024, the SEC adopted a new set of rules that would require a wide range of climate-related disclosures, including material climate-related risks, information on any climate-related targets or goals that are material to the registrant’s business, results of operations or financial condition, Scope 1 and Scope 2 GHG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Litigation challenging the rules was filed by multiple parties in multiple jurisdictions, which was consolidated and assigned to the U.S. Court of Appeals for the Eighth Circuit. On April 4, 2024, the SEC announced that it was voluntarily delaying the implementation of the climate disclosure rules while the U.S. Court of Appeals considered the litigation. On March 27, 2025, the SEC voted to end the defense of the rules in the litigation.</w:t>
      </w:r>
    </w:p>
    <w:p>
      <w:pPr>
        <w:spacing w:after="0" w:line="13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July 4, 2025, federal tax legislation was enacted. Among other changes, the federal tax legislation phases out, repeals, and/or adds stricter eligibility requirements for business tax credits and incentives for the development of clean energy facilities and production of clean energy, including wind, solar and BESS facilities. Among other things, (i) wind and solar facilities that begin construction after July 4, 2026 must be placed in service by December 31, 2027 in order to qualify for production tax credits or investment tax credits, (ii) BESS facilities that begin construction by December 31, 2033 receive full investment tax credit value, stepping down to 75% for BESS facilities that begin construction in 2034, 50% for BESS facilities that begin construction in 2035 and 0% for BESS facilities that begin construction after 2035 and (iii) for facilities that begin construction after 2024, new foreign entity of concern requirements will restrict availability of the credits to wind, solar and BESS facilities if the entity that owns the facility has certain relationships with or makes certain payments to foreign entities of concern and, for facilities that begin construction after 2025, if the percentage of components in the facility manufactured by foreign entities of concern exceeds a specified percentage.</w:t>
      </w:r>
    </w:p>
    <w:p>
      <w:pPr>
        <w:spacing w:after="0" w:line="13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July 7, 2025, a federal executive order was issued directing the Secretary of the Treasury to issue, within 45 days, new and revised guidance that could potentially seek to limit the interpretation of “begin construction” requirements for wind, solar and BESS facilities that claim “technology neutral” tax credits under sections 45Y or 48E of the Internal Revenue Code. Facilities that began construction before 2025 qualify for tax credits under section 45 and 48 of the Internal Revenue Code and so are not within the scope of the executive order. Similarly, the executive order does not impact operating facilities, so the facilities owned and operated by the Company are not within the scope of the executive order. The Company will continue to assess the impact of any such guidance under the executive order when it is issued.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13"/>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16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gridSpan w:val="3"/>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33333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428</w:t>
            </w:r>
          </w:p>
        </w:tc>
        <w:tc>
          <w:tcPr>
            <w:tcW w:w="4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333333"/>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33333"/>
              </w:rPr>
              <w:t>424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333333"/>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761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333333"/>
                <w:w w:val="88"/>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739</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33333"/>
              </w:rPr>
              <w:t>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Contract amortization</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33333"/>
              </w:rPr>
              <w:t>(46)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33333"/>
              </w:rPr>
              <w:t>(42)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392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690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Cost of fuels</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33333"/>
              </w:rPr>
              <w:t>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33333"/>
              </w:rPr>
              <w:t>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33333"/>
              </w:rPr>
              <w:t>153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307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605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85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33333"/>
              </w:rPr>
              <w:t>84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33333"/>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85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Derivative interest income (expense)</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(68)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333333"/>
              </w:rPr>
              <w:t>(70)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(172)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33333"/>
              </w:rPr>
              <w:t>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(87)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8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Less: Net loss attributable to noncontrolling interests and</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880" w:type="dxa"/>
            <w:vAlign w:val="bottom"/>
            <w:tcBorders>
              <w:bottom w:val="single" w:sz="8" w:color="CCEEFF"/>
            </w:tcBorders>
            <w:gridSpan w:val="3"/>
          </w:tcPr>
          <w:p>
            <w:pPr>
              <w:ind w:left="28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gridSpan w:val="2"/>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13"/>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24"/>
                <w:szCs w:val="24"/>
                <w:color w:val="auto"/>
              </w:rPr>
            </w:pPr>
          </w:p>
        </w:tc>
        <w:tc>
          <w:tcPr>
            <w:tcW w:w="2160" w:type="dxa"/>
            <w:vAlign w:val="bottom"/>
            <w:gridSpan w:val="8"/>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metrics:</w:t>
            </w: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78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Solar MWh generated/sold (in thousands) </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2,650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2,613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4,056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ind w:left="80"/>
              <w:spacing w:after="0" w:line="230" w:lineRule="exact"/>
              <w:rPr>
                <w:sz w:val="20"/>
                <w:szCs w:val="20"/>
                <w:color w:val="auto"/>
              </w:rPr>
            </w:pPr>
            <w:r>
              <w:rPr>
                <w:rFonts w:ascii="Times New Roman" w:cs="Times New Roman" w:eastAsia="Times New Roman" w:hAnsi="Times New Roman"/>
                <w:sz w:val="18"/>
                <w:szCs w:val="18"/>
                <w:color w:val="auto"/>
              </w:rPr>
              <w:t xml:space="preserve">Wind MWh generated/sold (in thousands) </w:t>
            </w:r>
            <w:r>
              <w:rPr>
                <w:rFonts w:ascii="Times New Roman" w:cs="Times New Roman" w:eastAsia="Times New Roman" w:hAnsi="Times New Roman"/>
                <w:sz w:val="23"/>
                <w:szCs w:val="23"/>
                <w:color w:val="auto"/>
                <w:vertAlign w:val="superscript"/>
              </w:rPr>
              <w:t>(a)</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2,941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98"/>
              </w:rPr>
              <w:t>2,947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5,466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8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Solar &amp; Wind MWh generated/sold (in thousands)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5,591</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5,560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bottom w:val="single" w:sz="8" w:color="CCEEFF"/>
            </w:tcBorders>
            <w:gridSpan w:val="2"/>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Solar weighted-average capacity factor </w:t>
            </w:r>
            <w:r>
              <w:rPr>
                <w:rFonts w:ascii="Times New Roman" w:cs="Times New Roman" w:eastAsia="Times New Roman" w:hAnsi="Times New Roman"/>
                <w:sz w:val="23"/>
                <w:szCs w:val="23"/>
                <w:color w:val="auto"/>
                <w:vertAlign w:val="superscript"/>
              </w:rPr>
              <w:t>(b)</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rPr>
              <w:t>36.9 %</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rPr>
              <w:t>31.3 %</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Wind weighted-average capacity factor </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Flexible Generation MWh generated (in thousands)</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w w:val="88"/>
              </w:rPr>
              <w:t>55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Flexible Generation equivalent availability factor</w:t>
            </w:r>
          </w:p>
        </w:tc>
        <w:tc>
          <w:tcPr>
            <w:tcW w:w="24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798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Volumes do not include the MWh generated/sold by the Company’s equity method investments.</w:t>
      </w:r>
    </w:p>
    <w:p>
      <w:pPr>
        <w:spacing w:after="0" w:line="3" w:lineRule="exact"/>
        <w:rPr>
          <w:rFonts w:ascii="Times New Roman" w:cs="Times New Roman" w:eastAsia="Times New Roman" w:hAnsi="Times New Roman"/>
          <w:sz w:val="20"/>
          <w:szCs w:val="20"/>
          <w:color w:val="auto"/>
          <w:vertAlign w:val="superscript"/>
        </w:rPr>
      </w:pPr>
    </w:p>
    <w:p>
      <w:pPr>
        <w:ind w:left="260" w:hanging="171"/>
        <w:spacing w:after="0" w:line="189" w:lineRule="auto"/>
        <w:tabs>
          <w:tab w:leader="none" w:pos="2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Typical average capacity factors for solar facilities is 25%. The weighted-average capacity factors can vary based on seasonality and weather.</w:t>
      </w:r>
    </w:p>
    <w:p>
      <w:pPr>
        <w:spacing w:after="0" w:line="16" w:lineRule="exact"/>
        <w:rPr>
          <w:rFonts w:ascii="Times New Roman" w:cs="Times New Roman" w:eastAsia="Times New Roman" w:hAnsi="Times New Roman"/>
          <w:sz w:val="19"/>
          <w:szCs w:val="19"/>
          <w:color w:val="auto"/>
          <w:vertAlign w:val="superscript"/>
        </w:rPr>
      </w:pPr>
    </w:p>
    <w:p>
      <w:pPr>
        <w:ind w:left="260" w:hanging="171"/>
        <w:spacing w:after="0" w:line="189" w:lineRule="auto"/>
        <w:tabs>
          <w:tab w:leader="none" w:pos="2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Typical average capacity factors for wind facilities is 25-45%. The weighted-average capacity factors can vary based on seasonality and weather.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ind w:right="29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of the Results of Operations for the Three Months Ended June 30, 2025 and 2024 </w:t>
      </w:r>
      <w:r>
        <w:rPr>
          <w:rFonts w:ascii="Times New Roman" w:cs="Times New Roman" w:eastAsia="Times New Roman" w:hAnsi="Times New Roman"/>
          <w:sz w:val="18"/>
          <w:szCs w:val="18"/>
          <w:b w:val="1"/>
          <w:bCs w:val="1"/>
          <w:i w:val="1"/>
          <w:iCs w:val="1"/>
          <w:color w:val="auto"/>
        </w:rPr>
        <w:t>Operating Revenues</w:t>
      </w:r>
    </w:p>
    <w:p>
      <w:pPr>
        <w:spacing w:after="0" w:line="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Operating revenues increased by $26 million during the three months ended June 30, 2025, compared to the same period in 2024, due to a combination of the drivers summarized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Renewables &amp; Storage Segment</w:t>
            </w: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Increase driven by the Tuolumne wind acquisition in April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76"/>
        </w:trPr>
        <w:tc>
          <w:tcPr>
            <w:tcW w:w="2560" w:type="dxa"/>
            <w:vAlign w:val="bottom"/>
          </w:tcPr>
          <w:p>
            <w:pPr>
              <w:spacing w:after="0"/>
              <w:rPr>
                <w:sz w:val="15"/>
                <w:szCs w:val="15"/>
                <w:color w:val="auto"/>
              </w:rPr>
            </w:pPr>
          </w:p>
        </w:tc>
        <w:tc>
          <w:tcPr>
            <w:tcW w:w="74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Increase primarily driven by the Arica solar and BESS and Rosamond Central BESS acquisitions,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2560" w:type="dxa"/>
            <w:vAlign w:val="bottom"/>
          </w:tcPr>
          <w:p>
            <w:pPr>
              <w:spacing w:after="0"/>
              <w:rPr>
                <w:sz w:val="21"/>
                <w:szCs w:val="21"/>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which reached commercial operations in April 2024 and June 2024, respectively.</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560" w:type="dxa"/>
            <w:vAlign w:val="bottom"/>
            <w:shd w:val="clear" w:color="auto" w:fill="CCEEFF"/>
          </w:tcPr>
          <w:p>
            <w:pPr>
              <w:spacing w:after="0"/>
              <w:rPr>
                <w:sz w:val="19"/>
                <w:szCs w:val="19"/>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Decrease primarily driven by lower wind resource at certain facilities.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2560" w:type="dxa"/>
            <w:vAlign w:val="bottom"/>
          </w:tcPr>
          <w:p>
            <w:pPr>
              <w:spacing w:after="0"/>
              <w:rPr>
                <w:sz w:val="19"/>
                <w:szCs w:val="19"/>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incurred on the buy-down of a portion of the Mt. Storm commodity contract in April 2025.</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76"/>
        </w:trPr>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Flexible Generation Segment</w:t>
            </w:r>
          </w:p>
        </w:tc>
        <w:tc>
          <w:tcPr>
            <w:tcW w:w="742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Decrease in energy revenue primarily driven by lower generation at the Walnut Creek, Marsh</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2560" w:type="dxa"/>
            <w:vAlign w:val="bottom"/>
            <w:shd w:val="clear" w:color="auto" w:fill="CCEEFF"/>
          </w:tcPr>
          <w:p>
            <w:pPr>
              <w:spacing w:after="0"/>
              <w:rPr>
                <w:sz w:val="21"/>
                <w:szCs w:val="21"/>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Landing and El Segundo facilities.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6"/>
        </w:trPr>
        <w:tc>
          <w:tcPr>
            <w:tcW w:w="2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Contract amortization</w:t>
            </w:r>
          </w:p>
        </w:tc>
        <w:tc>
          <w:tcPr>
            <w:tcW w:w="74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Increase primarily driven by Cedro Hill, which reached repowering commercial operations in</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2560" w:type="dxa"/>
            <w:vAlign w:val="bottom"/>
          </w:tcPr>
          <w:p>
            <w:pPr>
              <w:spacing w:after="0"/>
              <w:rPr>
                <w:sz w:val="21"/>
                <w:szCs w:val="21"/>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December 2024, resulting in the extension of the amortization period.</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5"/>
        </w:trPr>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Mark-to-market economic</w:t>
            </w:r>
          </w:p>
        </w:tc>
        <w:tc>
          <w:tcPr>
            <w:tcW w:w="742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Increase primarily driven by decreases in forward power prices in the ERCOT market.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hedging activities</w:t>
            </w:r>
          </w:p>
        </w:tc>
        <w:tc>
          <w:tcPr>
            <w:tcW w:w="7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2560" w:type="dxa"/>
            <w:vAlign w:val="bottom"/>
            <w:tcBorders>
              <w:bottom w:val="single" w:sz="8" w:color="CCEEFF"/>
            </w:tcBorders>
          </w:tcPr>
          <w:p>
            <w:pPr>
              <w:spacing w:after="0"/>
              <w:rPr>
                <w:sz w:val="19"/>
                <w:szCs w:val="19"/>
                <w:color w:val="auto"/>
              </w:rPr>
            </w:pPr>
          </w:p>
        </w:tc>
        <w:tc>
          <w:tcPr>
            <w:tcW w:w="74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Decrease in heat rate call option contracts primarily driven by changes in power market prices.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256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Operation and maintenance expense increased by $15 million during the three months ended June 30, 2025, compared to the same period in 2024, due to a combination of the drivers summarized in the table below:</w:t>
      </w:r>
    </w:p>
    <w:p>
      <w:pPr>
        <w:spacing w:after="0" w:line="43"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6"/>
          <w:szCs w:val="16"/>
          <w:b w:val="1"/>
          <w:bCs w:val="1"/>
          <w:color w:val="auto"/>
        </w:rPr>
        <w:t>(In millions)</w:t>
      </w:r>
    </w:p>
    <w:p>
      <w:pPr>
        <w:sectPr>
          <w:pgSz w:w="11900" w:h="16838" w:orient="portrait"/>
          <w:cols w:equalWidth="0" w:num="1">
            <w:col w:w="11240"/>
          </w:cols>
          <w:pgMar w:left="320" w:top="887" w:right="339" w:bottom="1440" w:gutter="0" w:footer="0" w:header="0"/>
        </w:sectPr>
      </w:pPr>
    </w:p>
    <w:p>
      <w:pPr>
        <w:spacing w:after="0" w:line="28" w:lineRule="exact"/>
        <w:rPr>
          <w:sz w:val="20"/>
          <w:szCs w:val="20"/>
          <w:color w:val="auto"/>
        </w:rPr>
      </w:pPr>
    </w:p>
    <w:p>
      <w:pPr>
        <w:jc w:val="both"/>
        <w:ind w:left="2640" w:hanging="2618"/>
        <w:spacing w:after="0" w:line="226" w:lineRule="auto"/>
        <w:tabs>
          <w:tab w:leader="none" w:pos="2620" w:val="left"/>
        </w:tabs>
        <w:rPr>
          <w:sz w:val="20"/>
          <w:szCs w:val="20"/>
          <w:color w:val="auto"/>
        </w:rPr>
      </w:pPr>
      <w:r>
        <w:rPr>
          <w:rFonts w:ascii="Times New Roman" w:cs="Times New Roman" w:eastAsia="Times New Roman" w:hAnsi="Times New Roman"/>
          <w:sz w:val="18"/>
          <w:szCs w:val="18"/>
          <w:b w:val="1"/>
          <w:bCs w:val="1"/>
          <w:color w:val="auto"/>
        </w:rPr>
        <w:t>Renewables &amp; Storage Segment</w:t>
      </w:r>
      <w:r>
        <w:rPr>
          <w:sz w:val="20"/>
          <w:szCs w:val="20"/>
          <w:color w:val="auto"/>
        </w:rPr>
        <w:tab/>
      </w:r>
      <w:r>
        <w:rPr>
          <w:rFonts w:ascii="Times New Roman" w:cs="Times New Roman" w:eastAsia="Times New Roman" w:hAnsi="Times New Roman"/>
          <w:sz w:val="18"/>
          <w:szCs w:val="18"/>
          <w:color w:val="auto"/>
        </w:rPr>
        <w:t>Increase primarily driven by the Victory Pass and Arica solar and BESS acquisition, which reached commercial operations in March 2024 and April 2024, respectively, and the Rosamond South I solar and BESS acquisition in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3771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2640"/>
        <w:spacing w:after="0"/>
        <w:rPr>
          <w:sz w:val="20"/>
          <w:szCs w:val="20"/>
          <w:color w:val="auto"/>
        </w:rPr>
      </w:pPr>
      <w:r>
        <w:rPr>
          <w:rFonts w:ascii="Times New Roman" w:cs="Times New Roman" w:eastAsia="Times New Roman" w:hAnsi="Times New Roman"/>
          <w:sz w:val="18"/>
          <w:szCs w:val="18"/>
          <w:color w:val="auto"/>
        </w:rPr>
        <w:t>Increase primarily driven by maintenance activities at various wind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6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Increase driven by the Dan’s Mountain wind acquisition, which reached commercial operations in</w:t>
      </w:r>
    </w:p>
    <w:p>
      <w:pPr>
        <w:ind w:left="2640"/>
        <w:spacing w:after="0"/>
        <w:rPr>
          <w:sz w:val="20"/>
          <w:szCs w:val="20"/>
          <w:color w:val="auto"/>
        </w:rPr>
      </w:pPr>
      <w:r>
        <w:rPr>
          <w:rFonts w:ascii="Times New Roman" w:cs="Times New Roman" w:eastAsia="Times New Roman" w:hAnsi="Times New Roman"/>
          <w:sz w:val="18"/>
          <w:szCs w:val="18"/>
          <w:color w:val="auto"/>
        </w:rPr>
        <w:t>May 2025, and the Tuolumne wind acquisition in April 2025.</w:t>
      </w:r>
    </w:p>
    <w:p>
      <w:pPr>
        <w:spacing w:after="0" w:line="12" w:lineRule="exact"/>
        <w:rPr>
          <w:sz w:val="20"/>
          <w:szCs w:val="20"/>
          <w:color w:val="auto"/>
        </w:rPr>
      </w:pPr>
    </w:p>
    <w:p>
      <w:pPr>
        <w:ind w:left="20"/>
        <w:spacing w:after="0"/>
        <w:tabs>
          <w:tab w:leader="none" w:pos="2620" w:val="left"/>
        </w:tabs>
        <w:rPr>
          <w:sz w:val="20"/>
          <w:szCs w:val="20"/>
          <w:color w:val="auto"/>
        </w:rPr>
      </w:pPr>
      <w:r>
        <w:rPr>
          <w:rFonts w:ascii="Times New Roman" w:cs="Times New Roman" w:eastAsia="Times New Roman" w:hAnsi="Times New Roman"/>
          <w:sz w:val="18"/>
          <w:szCs w:val="18"/>
          <w:b w:val="1"/>
          <w:bCs w:val="1"/>
          <w:color w:val="auto"/>
        </w:rPr>
        <w:t>Flexible Generation Segment</w:t>
      </w:r>
      <w:r>
        <w:rPr>
          <w:sz w:val="20"/>
          <w:szCs w:val="20"/>
          <w:color w:val="auto"/>
        </w:rPr>
        <w:tab/>
      </w:r>
      <w:r>
        <w:rPr>
          <w:rFonts w:ascii="Times New Roman" w:cs="Times New Roman" w:eastAsia="Times New Roman" w:hAnsi="Times New Roman"/>
          <w:sz w:val="18"/>
          <w:szCs w:val="18"/>
          <w:color w:val="auto"/>
        </w:rPr>
        <w:t>Increase primarily driven by maintenance activities at various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1186" w:hanging="1186"/>
        <w:spacing w:after="0"/>
        <w:tabs>
          <w:tab w:leader="none" w:pos="118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w:t>
      </w:r>
    </w:p>
    <w:p>
      <w:pPr>
        <w:spacing w:after="0" w:line="50" w:lineRule="exact"/>
        <w:rPr>
          <w:rFonts w:ascii="Times New Roman" w:cs="Times New Roman" w:eastAsia="Times New Roman" w:hAnsi="Times New Roman"/>
          <w:sz w:val="16"/>
          <w:szCs w:val="16"/>
          <w:color w:val="auto"/>
        </w:rPr>
      </w:pPr>
    </w:p>
    <w:p>
      <w:pPr>
        <w:ind w:left="118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w:t>
      </w:r>
    </w:p>
    <w:p>
      <w:pPr>
        <w:spacing w:after="0" w:line="229" w:lineRule="exact"/>
        <w:rPr>
          <w:rFonts w:ascii="Times New Roman" w:cs="Times New Roman" w:eastAsia="Times New Roman" w:hAnsi="Times New Roman"/>
          <w:sz w:val="16"/>
          <w:szCs w:val="16"/>
          <w:color w:val="auto"/>
        </w:rPr>
      </w:pPr>
    </w:p>
    <w:p>
      <w:pPr>
        <w:ind w:left="118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w:t>
      </w:r>
    </w:p>
    <w:p>
      <w:pPr>
        <w:spacing w:after="0" w:line="50" w:lineRule="exact"/>
        <w:rPr>
          <w:rFonts w:ascii="Times New Roman" w:cs="Times New Roman" w:eastAsia="Times New Roman" w:hAnsi="Times New Roman"/>
          <w:sz w:val="16"/>
          <w:szCs w:val="16"/>
          <w:color w:val="auto"/>
        </w:rPr>
      </w:pPr>
    </w:p>
    <w:p>
      <w:pPr>
        <w:ind w:left="118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w:t>
      </w:r>
    </w:p>
    <w:p>
      <w:pPr>
        <w:spacing w:after="0" w:line="54" w:lineRule="exact"/>
        <w:rPr>
          <w:sz w:val="20"/>
          <w:szCs w:val="20"/>
          <w:color w:val="auto"/>
        </w:rPr>
      </w:pPr>
    </w:p>
    <w:p>
      <w:pPr>
        <w:ind w:left="1086" w:hanging="1086"/>
        <w:spacing w:after="0"/>
        <w:tabs>
          <w:tab w:leader="none" w:pos="108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8655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34"/>
            <w:col w:w="1346"/>
          </w:cols>
          <w:pgMar w:left="320" w:top="887" w:right="3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the Company recorded an income tax expense of $5 million on pretax income of $17 million. For the same period in 2024, the Company recorded an income tax expense of $10 million on pretax income of $14 million. The $5 million decrease in income tax expense during the three months ended June 30, 2025, compared to the same period in 2024, was primarily due to the allocation of taxable earnings and losses, which includes the effect of applying the HLBV method of accounting for book purposes for certain partnerships.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 and Redeemable Noncontrolling Interests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the Company had a net loss of $21 million attributable to noncontrolling interests and redeemable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(40)</w:t>
            </w:r>
          </w:p>
        </w:tc>
      </w:tr>
      <w:tr>
        <w:trPr>
          <w:trHeight w:val="229"/>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attributable to third-party partnerships</w:t>
            </w:r>
          </w:p>
        </w:tc>
        <w:tc>
          <w:tcPr>
            <w:tcW w:w="140" w:type="dxa"/>
            <w:vAlign w:val="bottom"/>
          </w:tcPr>
          <w:p>
            <w:pPr>
              <w:spacing w:after="0"/>
              <w:rPr>
                <w:sz w:val="19"/>
                <w:szCs w:val="19"/>
                <w:color w:val="auto"/>
              </w:rPr>
            </w:pPr>
          </w:p>
        </w:tc>
        <w:tc>
          <w:tcPr>
            <w:tcW w:w="112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9"/>
              </w:rPr>
              <w:t>(10)</w:t>
            </w: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CEG’s economic interest in Clearway Energy LLC</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29</w:t>
            </w:r>
          </w:p>
        </w:tc>
      </w:tr>
      <w:tr>
        <w:trPr>
          <w:trHeight w:val="223"/>
        </w:trPr>
        <w:tc>
          <w:tcPr>
            <w:tcW w:w="99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692"/>
              <w:spacing w:after="0"/>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9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the Company had a net loss of $47 million attributable to noncontrolling interests and redeemable noncontrolling interests comprised of the following:</w:t>
      </w:r>
    </w:p>
    <w:p>
      <w:pPr>
        <w:sectPr>
          <w:pgSz w:w="11900" w:h="16838" w:orient="portrait"/>
          <w:cols w:equalWidth="0" w:num="1">
            <w:col w:w="11240"/>
          </w:cols>
          <w:pgMar w:left="320" w:top="887" w:right="339" w:bottom="1440" w:gutter="0" w:footer="0" w:header="0"/>
        </w:sectPr>
      </w:pPr>
    </w:p>
    <w:p>
      <w:pPr>
        <w:spacing w:after="0" w:line="256"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 (primarily due to VP-Arica TE Holdco LLC HLBV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Income attributable to third-party partnerships (primarily due to VP-Arica TE Holdco LLC HLBV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CEG’s economic interest in Clearway Energy LLC</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191"/>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9" w:lineRule="exact"/>
        <w:rPr>
          <w:sz w:val="20"/>
          <w:szCs w:val="20"/>
          <w:color w:val="auto"/>
        </w:rPr>
      </w:pPr>
    </w:p>
    <w:p>
      <w:pPr>
        <w:ind w:left="831" w:hanging="831"/>
        <w:spacing w:after="0"/>
        <w:tabs>
          <w:tab w:leader="none" w:pos="83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w:t>
      </w:r>
    </w:p>
    <w:p>
      <w:pPr>
        <w:spacing w:after="0" w:line="27" w:lineRule="exact"/>
        <w:rPr>
          <w:rFonts w:ascii="Times New Roman" w:cs="Times New Roman" w:eastAsia="Times New Roman" w:hAnsi="Times New Roman"/>
          <w:sz w:val="18"/>
          <w:szCs w:val="18"/>
          <w:color w:val="auto"/>
        </w:rPr>
      </w:pPr>
    </w:p>
    <w:p>
      <w:pPr>
        <w:ind w:left="99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w:t>
      </w:r>
    </w:p>
    <w:p>
      <w:pPr>
        <w:spacing w:after="0" w:line="22" w:lineRule="exact"/>
        <w:rPr>
          <w:rFonts w:ascii="Times New Roman" w:cs="Times New Roman" w:eastAsia="Times New Roman" w:hAnsi="Times New Roman"/>
          <w:sz w:val="18"/>
          <w:szCs w:val="18"/>
          <w:color w:val="auto"/>
        </w:rPr>
      </w:pPr>
    </w:p>
    <w:p>
      <w:pPr>
        <w:ind w:left="99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058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1" w:lineRule="exact"/>
        <w:rPr>
          <w:sz w:val="20"/>
          <w:szCs w:val="20"/>
          <w:color w:val="auto"/>
        </w:rPr>
      </w:pPr>
    </w:p>
    <w:p>
      <w:pPr>
        <w:ind w:left="931" w:hanging="931"/>
        <w:spacing w:after="0"/>
        <w:tabs>
          <w:tab w:leader="none" w:pos="9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8058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8058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900" w:space="89"/>
            <w:col w:w="1251"/>
          </w:cols>
          <w:pgMar w:left="320" w:top="8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6" w:name="page47"/>
    <w:bookmarkEnd w:id="46"/>
    <w:p>
      <w:pPr>
        <w:ind w:right="320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of the Results of Operations for the Six Months Ended June 30, 2025 and 2024 </w:t>
      </w:r>
      <w:r>
        <w:rPr>
          <w:rFonts w:ascii="Times New Roman" w:cs="Times New Roman" w:eastAsia="Times New Roman" w:hAnsi="Times New Roman"/>
          <w:sz w:val="18"/>
          <w:szCs w:val="18"/>
          <w:b w:val="1"/>
          <w:bCs w:val="1"/>
          <w:i w:val="1"/>
          <w:iCs w:val="1"/>
          <w:color w:val="auto"/>
        </w:rPr>
        <w:t>Operating Revenues</w:t>
      </w:r>
    </w:p>
    <w:p>
      <w:pPr>
        <w:spacing w:after="0" w:line="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Operating revenues increased by $61 million during the six months ended June 30, 2025, compared to the same period in 2024, due to a combination of the drivers summarized in the table below:</w:t>
      </w:r>
    </w:p>
    <w:p>
      <w:pPr>
        <w:spacing w:after="0" w:line="43"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Renewables &amp; Storage Segment</w:t>
            </w:r>
          </w:p>
        </w:tc>
        <w:tc>
          <w:tcPr>
            <w:tcW w:w="7320" w:type="dxa"/>
            <w:vAlign w:val="bottom"/>
            <w:tcBorders>
              <w:top w:val="single" w:sz="8" w:color="CCEEFF"/>
            </w:tcBorders>
            <w:shd w:val="clear" w:color="auto" w:fill="CCEEFF"/>
          </w:tcPr>
          <w:p>
            <w:pPr>
              <w:ind w:left="80"/>
              <w:spacing w:after="0" w:line="162" w:lineRule="exact"/>
              <w:rPr>
                <w:sz w:val="20"/>
                <w:szCs w:val="20"/>
                <w:color w:val="auto"/>
              </w:rPr>
            </w:pPr>
            <w:r>
              <w:rPr>
                <w:rFonts w:ascii="Times New Roman" w:cs="Times New Roman" w:eastAsia="Times New Roman" w:hAnsi="Times New Roman"/>
                <w:sz w:val="18"/>
                <w:szCs w:val="18"/>
                <w:color w:val="auto"/>
              </w:rPr>
              <w:t>Increase driven by the Victory Pass and Arica solar and BESS and Rosamond Central BESS</w:t>
            </w:r>
          </w:p>
        </w:tc>
        <w:tc>
          <w:tcPr>
            <w:tcW w:w="5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84"/>
        </w:trPr>
        <w:tc>
          <w:tcPr>
            <w:tcW w:w="2560" w:type="dxa"/>
            <w:vAlign w:val="bottom"/>
            <w:shd w:val="clear" w:color="auto" w:fill="CCEEFF"/>
          </w:tcPr>
          <w:p>
            <w:pPr>
              <w:spacing w:after="0"/>
              <w:rPr>
                <w:sz w:val="16"/>
                <w:szCs w:val="16"/>
                <w:color w:val="auto"/>
              </w:rPr>
            </w:pPr>
          </w:p>
        </w:tc>
        <w:tc>
          <w:tcPr>
            <w:tcW w:w="73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acquisitions, which reached commercial operations in March 2024, April 2024 and June 2024,</w:t>
            </w: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4"/>
        </w:trPr>
        <w:tc>
          <w:tcPr>
            <w:tcW w:w="2560" w:type="dxa"/>
            <w:vAlign w:val="bottom"/>
            <w:shd w:val="clear" w:color="auto" w:fill="CCEEFF"/>
          </w:tcPr>
          <w:p>
            <w:pPr>
              <w:spacing w:after="0"/>
              <w:rPr>
                <w:sz w:val="20"/>
                <w:szCs w:val="20"/>
                <w:color w:val="auto"/>
              </w:rPr>
            </w:pPr>
          </w:p>
        </w:tc>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respectively.</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75"/>
        </w:trPr>
        <w:tc>
          <w:tcPr>
            <w:tcW w:w="2560" w:type="dxa"/>
            <w:vAlign w:val="bottom"/>
          </w:tcPr>
          <w:p>
            <w:pPr>
              <w:spacing w:after="0"/>
              <w:rPr>
                <w:sz w:val="15"/>
                <w:szCs w:val="15"/>
                <w:color w:val="auto"/>
              </w:rPr>
            </w:pPr>
          </w:p>
        </w:tc>
        <w:tc>
          <w:tcPr>
            <w:tcW w:w="73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Increase driven by the Cedar Creek and Tuolumne wind acquisitions in April 2024 and April 2025,</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2560" w:type="dxa"/>
            <w:vAlign w:val="bottom"/>
          </w:tcPr>
          <w:p>
            <w:pPr>
              <w:spacing w:after="0"/>
              <w:rPr>
                <w:sz w:val="21"/>
                <w:szCs w:val="21"/>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respectively.</w:t>
            </w: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2560" w:type="dxa"/>
            <w:vAlign w:val="bottom"/>
            <w:shd w:val="clear" w:color="auto" w:fill="CCEEFF"/>
          </w:tcPr>
          <w:p>
            <w:pPr>
              <w:spacing w:after="0"/>
              <w:rPr>
                <w:sz w:val="19"/>
                <w:szCs w:val="19"/>
                <w:color w:val="auto"/>
              </w:rPr>
            </w:pPr>
          </w:p>
        </w:tc>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Increase primarily driven by higher solar generation.</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560" w:type="dxa"/>
            <w:vAlign w:val="bottom"/>
          </w:tcPr>
          <w:p>
            <w:pPr>
              <w:spacing w:after="0"/>
              <w:rPr>
                <w:sz w:val="19"/>
                <w:szCs w:val="19"/>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Decrease primarily driven by lower wind resource at certain facilities.</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560" w:type="dxa"/>
            <w:vAlign w:val="bottom"/>
            <w:shd w:val="clear" w:color="auto" w:fill="CCEEFF"/>
          </w:tcPr>
          <w:p>
            <w:pPr>
              <w:spacing w:after="0"/>
              <w:rPr>
                <w:sz w:val="19"/>
                <w:szCs w:val="19"/>
                <w:color w:val="auto"/>
              </w:rPr>
            </w:pPr>
          </w:p>
        </w:tc>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incurred on the buy-down of a portion of the Mt. Storm commodity contract in April 2025.</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75"/>
        </w:trPr>
        <w:tc>
          <w:tcPr>
            <w:tcW w:w="2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Flexible Generation Segment</w:t>
            </w:r>
          </w:p>
        </w:tc>
        <w:tc>
          <w:tcPr>
            <w:tcW w:w="73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Decrease in energy revenue primarily driven by lower generation at the Walnut Creek, Marsh</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4"/>
        </w:trPr>
        <w:tc>
          <w:tcPr>
            <w:tcW w:w="2560" w:type="dxa"/>
            <w:vAlign w:val="bottom"/>
          </w:tcPr>
          <w:p>
            <w:pPr>
              <w:spacing w:after="0"/>
              <w:rPr>
                <w:sz w:val="16"/>
                <w:szCs w:val="16"/>
                <w:color w:val="auto"/>
              </w:rPr>
            </w:pPr>
          </w:p>
        </w:tc>
        <w:tc>
          <w:tcPr>
            <w:tcW w:w="73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Landing and El Segundo facilities due to milder weather, which also decreased cost of fuels as</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4"/>
        </w:trPr>
        <w:tc>
          <w:tcPr>
            <w:tcW w:w="2560" w:type="dxa"/>
            <w:vAlign w:val="bottom"/>
          </w:tcPr>
          <w:p>
            <w:pPr>
              <w:spacing w:after="0"/>
              <w:rPr>
                <w:sz w:val="20"/>
                <w:szCs w:val="20"/>
                <w:color w:val="auto"/>
              </w:rPr>
            </w:pPr>
          </w:p>
        </w:tc>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noted below.</w:t>
            </w:r>
          </w:p>
        </w:tc>
        <w:tc>
          <w:tcPr>
            <w:tcW w:w="5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175"/>
        </w:trPr>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Contract amortization</w:t>
            </w:r>
          </w:p>
        </w:tc>
        <w:tc>
          <w:tcPr>
            <w:tcW w:w="732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Increase primarily driven by Cedro Hill, which reached repowering commercial operations in</w:t>
            </w: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2560" w:type="dxa"/>
            <w:vAlign w:val="bottom"/>
            <w:shd w:val="clear" w:color="auto" w:fill="CCEEFF"/>
          </w:tcPr>
          <w:p>
            <w:pPr>
              <w:spacing w:after="0"/>
              <w:rPr>
                <w:sz w:val="21"/>
                <w:szCs w:val="21"/>
                <w:color w:val="auto"/>
              </w:rPr>
            </w:pPr>
          </w:p>
        </w:tc>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December 2024, resulting in the extension of the amortization period.</w:t>
            </w:r>
          </w:p>
        </w:tc>
        <w:tc>
          <w:tcPr>
            <w:tcW w:w="5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75"/>
        </w:trPr>
        <w:tc>
          <w:tcPr>
            <w:tcW w:w="2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Mark-to-market economic</w:t>
            </w:r>
          </w:p>
        </w:tc>
        <w:tc>
          <w:tcPr>
            <w:tcW w:w="73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Increase primarily driven by decreases in forward power prices in the ERCOT and PJM markets.</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hedging activities</w:t>
            </w:r>
          </w:p>
        </w:tc>
        <w:tc>
          <w:tcPr>
            <w:tcW w:w="7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2560" w:type="dxa"/>
            <w:vAlign w:val="bottom"/>
            <w:shd w:val="clear" w:color="auto" w:fill="CCEEFF"/>
          </w:tcPr>
          <w:p>
            <w:pPr>
              <w:spacing w:after="0"/>
              <w:rPr>
                <w:sz w:val="19"/>
                <w:szCs w:val="19"/>
                <w:color w:val="auto"/>
              </w:rPr>
            </w:pPr>
          </w:p>
        </w:tc>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Decrease in heat rate call option contracts primarily driven by changes in power market prices.</w:t>
            </w:r>
          </w:p>
        </w:tc>
        <w:tc>
          <w:tcPr>
            <w:tcW w:w="5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256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5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Fuels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Cost of fuels decreased by $16 million during the six months ended June 30, 2025, compared to the same period in 2024, primarily due to lower generation at the Walnut Creek, Marsh Landing and El Segundo facilities due to milder weather, which resulted in less fuel purchases.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Operation and maintenance expense increased by $25 million during the six months ended June 30, 2025, compared to the same period in 2024, due to a combination of the drivers summarized in the table below:</w:t>
      </w:r>
    </w:p>
    <w:p>
      <w:pPr>
        <w:spacing w:after="0" w:line="43"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6"/>
          <w:szCs w:val="16"/>
          <w:b w:val="1"/>
          <w:bCs w:val="1"/>
          <w:color w:val="auto"/>
        </w:rPr>
        <w:t>(In millions)</w:t>
      </w:r>
    </w:p>
    <w:p>
      <w:pPr>
        <w:sectPr>
          <w:pgSz w:w="11900" w:h="16838" w:orient="portrait"/>
          <w:cols w:equalWidth="0" w:num="1">
            <w:col w:w="11240"/>
          </w:cols>
          <w:pgMar w:left="320" w:top="887" w:right="339" w:bottom="1440" w:gutter="0" w:footer="0" w:header="0"/>
        </w:sectPr>
      </w:pPr>
    </w:p>
    <w:p>
      <w:pPr>
        <w:spacing w:after="0" w:line="28" w:lineRule="exact"/>
        <w:rPr>
          <w:sz w:val="20"/>
          <w:szCs w:val="20"/>
          <w:color w:val="auto"/>
        </w:rPr>
      </w:pPr>
    </w:p>
    <w:p>
      <w:pPr>
        <w:jc w:val="both"/>
        <w:ind w:left="2560" w:hanging="2537"/>
        <w:spacing w:after="0" w:line="226" w:lineRule="auto"/>
        <w:rPr>
          <w:sz w:val="20"/>
          <w:szCs w:val="20"/>
          <w:color w:val="auto"/>
        </w:rPr>
      </w:pPr>
      <w:r>
        <w:rPr>
          <w:rFonts w:ascii="Times New Roman" w:cs="Times New Roman" w:eastAsia="Times New Roman" w:hAnsi="Times New Roman"/>
          <w:sz w:val="18"/>
          <w:szCs w:val="18"/>
          <w:b w:val="1"/>
          <w:bCs w:val="1"/>
          <w:color w:val="auto"/>
        </w:rPr>
        <w:t xml:space="preserve">Renewables &amp; Storage Segment </w:t>
      </w:r>
      <w:r>
        <w:rPr>
          <w:rFonts w:ascii="Times New Roman" w:cs="Times New Roman" w:eastAsia="Times New Roman" w:hAnsi="Times New Roman"/>
          <w:sz w:val="18"/>
          <w:szCs w:val="18"/>
          <w:color w:val="auto"/>
        </w:rPr>
        <w:t>Increase primarily driven by the Victory Pass and Arica solar and BESS acquisition, which reached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operations in March 2024 and April 2024, respectively, and the Rosamond South I solar and BESS and Texas Solar Nova 2 acquisitions in March 2025 and March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3771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18"/>
          <w:szCs w:val="18"/>
          <w:color w:val="auto"/>
        </w:rPr>
        <w:t>Increase primarily driven by maintenance activities at various wind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771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7" w:lineRule="exact"/>
        <w:rPr>
          <w:sz w:val="20"/>
          <w:szCs w:val="20"/>
          <w:color w:val="auto"/>
        </w:rPr>
      </w:pPr>
    </w:p>
    <w:p>
      <w:pPr>
        <w:jc w:val="both"/>
        <w:ind w:left="2560" w:right="20"/>
        <w:spacing w:after="0" w:line="224" w:lineRule="auto"/>
        <w:rPr>
          <w:sz w:val="20"/>
          <w:szCs w:val="20"/>
          <w:color w:val="auto"/>
        </w:rPr>
      </w:pPr>
      <w:r>
        <w:rPr>
          <w:rFonts w:ascii="Times New Roman" w:cs="Times New Roman" w:eastAsia="Times New Roman" w:hAnsi="Times New Roman"/>
          <w:sz w:val="18"/>
          <w:szCs w:val="18"/>
          <w:color w:val="auto"/>
        </w:rPr>
        <w:t>Increase driven by the Cedar Creek and Dan’s Mountain wind acquisitions, which reached commercial operations in April 2024 and May 2025, respectively, and the Tuolumne wind acquisition in April 2025.</w:t>
      </w:r>
    </w:p>
    <w:p>
      <w:pPr>
        <w:spacing w:after="0" w:line="6" w:lineRule="exact"/>
        <w:rPr>
          <w:sz w:val="20"/>
          <w:szCs w:val="20"/>
          <w:color w:val="auto"/>
        </w:rPr>
      </w:pPr>
    </w:p>
    <w:p>
      <w:pPr>
        <w:ind w:left="20"/>
        <w:spacing w:after="0"/>
        <w:tabs>
          <w:tab w:leader="none" w:pos="2540" w:val="left"/>
        </w:tabs>
        <w:rPr>
          <w:sz w:val="20"/>
          <w:szCs w:val="20"/>
          <w:color w:val="auto"/>
        </w:rPr>
      </w:pPr>
      <w:r>
        <w:rPr>
          <w:rFonts w:ascii="Times New Roman" w:cs="Times New Roman" w:eastAsia="Times New Roman" w:hAnsi="Times New Roman"/>
          <w:sz w:val="18"/>
          <w:szCs w:val="18"/>
          <w:b w:val="1"/>
          <w:bCs w:val="1"/>
          <w:color w:val="auto"/>
        </w:rPr>
        <w:t>Flexible Generation Segment</w:t>
      </w:r>
      <w:r>
        <w:rPr>
          <w:sz w:val="20"/>
          <w:szCs w:val="20"/>
          <w:color w:val="auto"/>
        </w:rPr>
        <w:tab/>
      </w:r>
      <w:r>
        <w:rPr>
          <w:rFonts w:ascii="Times New Roman" w:cs="Times New Roman" w:eastAsia="Times New Roman" w:hAnsi="Times New Roman"/>
          <w:sz w:val="18"/>
          <w:szCs w:val="18"/>
          <w:color w:val="auto"/>
        </w:rPr>
        <w:t>Increase primarily driven by maintenance activities at various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1106" w:hanging="1106"/>
        <w:spacing w:after="0"/>
        <w:tabs>
          <w:tab w:leader="none" w:pos="110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w:t>
      </w:r>
    </w:p>
    <w:p>
      <w:pPr>
        <w:spacing w:after="0" w:line="50" w:lineRule="exact"/>
        <w:rPr>
          <w:rFonts w:ascii="Times New Roman" w:cs="Times New Roman" w:eastAsia="Times New Roman" w:hAnsi="Times New Roman"/>
          <w:sz w:val="16"/>
          <w:szCs w:val="16"/>
          <w:color w:val="auto"/>
        </w:rPr>
      </w:pPr>
    </w:p>
    <w:p>
      <w:pPr>
        <w:ind w:left="118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w:t>
      </w:r>
    </w:p>
    <w:p>
      <w:pPr>
        <w:spacing w:after="0" w:line="200" w:lineRule="exact"/>
        <w:rPr>
          <w:sz w:val="20"/>
          <w:szCs w:val="20"/>
          <w:color w:val="auto"/>
        </w:rPr>
      </w:pPr>
    </w:p>
    <w:p>
      <w:pPr>
        <w:spacing w:after="0" w:line="20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w:t>
      </w:r>
    </w:p>
    <w:p>
      <w:pPr>
        <w:spacing w:after="0" w:line="31" w:lineRule="exact"/>
        <w:rPr>
          <w:sz w:val="20"/>
          <w:szCs w:val="20"/>
          <w:color w:val="auto"/>
        </w:rPr>
      </w:pPr>
    </w:p>
    <w:p>
      <w:pPr>
        <w:ind w:left="1086" w:hanging="1086"/>
        <w:spacing w:after="0"/>
        <w:tabs>
          <w:tab w:leader="none" w:pos="108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8655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34"/>
            <w:col w:w="1346"/>
          </w:cols>
          <w:pgMar w:left="320" w:top="887" w:right="3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increased by $54 million during the six months ended June 30, 2025, compared to the same period in 2024, primarily due to the change in fair value of interest rate swaps due to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the Company recorded an income tax expense of $5 million on a pretax loss of $87 million. For the same period in 2024, the Company recorded an income tax benefit of $3 million on a pretax loss of $45 million. The $8 million increase in income tax expense during the six months ended June 30, 2025, compared to the same period in 2024, was primarily due to the allocation of taxable earnings and losses, which includes the effect of applying the HLBV method of accounting for book purposes for certain partnerships.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 and Redeemable Noncontrolling Interests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the Company had a net loss of $129 million attributable to noncontrolling interests and redeemable noncontrolling interests comprised of the following:</w:t>
      </w:r>
    </w:p>
    <w:p>
      <w:pPr>
        <w:spacing w:after="0" w:line="43"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6"/>
          <w:szCs w:val="16"/>
          <w:b w:val="1"/>
          <w:bCs w:val="1"/>
          <w:color w:val="auto"/>
        </w:rPr>
        <w:t>(In millions)</w:t>
      </w:r>
    </w:p>
    <w:p>
      <w:pPr>
        <w:sectPr>
          <w:pgSz w:w="11900" w:h="16838" w:orient="portrait"/>
          <w:cols w:equalWidth="0" w:num="1">
            <w:col w:w="11240"/>
          </w:cols>
          <w:pgMar w:left="320" w:top="887" w:right="339" w:bottom="1440" w:gutter="0" w:footer="0" w:header="0"/>
        </w:sectPr>
      </w:pPr>
    </w:p>
    <w:p>
      <w:pPr>
        <w:spacing w:after="0" w:line="30" w:lineRule="exact"/>
        <w:rPr>
          <w:sz w:val="20"/>
          <w:szCs w:val="20"/>
          <w:color w:val="auto"/>
        </w:rPr>
      </w:pPr>
    </w:p>
    <w:p>
      <w:pPr>
        <w:ind w:left="20"/>
        <w:spacing w:after="0" w:line="222" w:lineRule="auto"/>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 (primarily due to Cedro Hill TE Holdco, Daggett TE Holdco LLC, Daggett 2 TE Holdco LLC, Rosie TE HoldCo LLC, TSN1 TE Holdco LLC and VP-Arica TE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3771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LLC HLBV losses)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CEG’s economic interest in Clearway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attributable to third-party partnerships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831" w:hanging="831"/>
        <w:spacing w:after="0"/>
        <w:tabs>
          <w:tab w:leader="none" w:pos="8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w:t>
      </w:r>
    </w:p>
    <w:p>
      <w:pPr>
        <w:spacing w:after="0" w:line="27" w:lineRule="exact"/>
        <w:rPr>
          <w:rFonts w:ascii="Times New Roman" w:cs="Times New Roman" w:eastAsia="Times New Roman" w:hAnsi="Times New Roman"/>
          <w:sz w:val="18"/>
          <w:szCs w:val="18"/>
          <w:color w:val="auto"/>
        </w:rPr>
      </w:pPr>
    </w:p>
    <w:p>
      <w:pPr>
        <w:ind w:left="99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2" w:lineRule="exact"/>
        <w:rPr>
          <w:rFonts w:ascii="Times New Roman" w:cs="Times New Roman" w:eastAsia="Times New Roman" w:hAnsi="Times New Roman"/>
          <w:sz w:val="18"/>
          <w:szCs w:val="18"/>
          <w:color w:val="auto"/>
        </w:rPr>
      </w:pPr>
    </w:p>
    <w:p>
      <w:pPr>
        <w:ind w:left="99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058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1" w:lineRule="exact"/>
        <w:rPr>
          <w:sz w:val="20"/>
          <w:szCs w:val="20"/>
          <w:color w:val="auto"/>
        </w:rPr>
      </w:pPr>
    </w:p>
    <w:p>
      <w:pPr>
        <w:ind w:left="831" w:hanging="831"/>
        <w:spacing w:after="0"/>
        <w:tabs>
          <w:tab w:leader="none" w:pos="8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8058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8058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940" w:space="49"/>
            <w:col w:w="1251"/>
          </w:cols>
          <w:pgMar w:left="320" w:top="887" w:right="339" w:bottom="1440" w:gutter="0" w:footer="0" w:header="0"/>
          <w:type w:val="continuous"/>
        </w:sectPr>
      </w:pPr>
    </w:p>
    <w:p>
      <w:pPr>
        <w:spacing w:after="0" w:line="120"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the Company had a net loss of $91 million attributable to noncontrolling interests and redeemable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59"/>
        </w:trPr>
        <w:tc>
          <w:tcPr>
            <w:tcW w:w="99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 (primarily due to VP-Arica TE Holdco</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43"/>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LLC, Daggett TE Holdco LLC and Daggett 2 TE Holdco LLC HLBV losses)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176"/>
        </w:trPr>
        <w:tc>
          <w:tcPr>
            <w:tcW w:w="9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attributable to third-party partnerships (primarily due to VP-Arica TE Holdco LLC, Daggett TE Holdco LLC and Daggett 2 TE</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Holdco LLC HLBV losses)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CEG’s economic interest in Clearway Energy LLC</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99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9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The Company’s principal liquidity requirements are to meet its financial commitments, finance current operations, fund capital expenditures, including investments and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investments,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Liquidity Position</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the Company’s liquidity was approximately $1,298 million and $1,330 million, respectively, comprised of cash, restricted cash and availability under the Company’s revolving credit facility.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7"/>
                <w:szCs w:val="17"/>
                <w:color w:val="auto"/>
              </w:rPr>
            </w:pPr>
          </w:p>
        </w:tc>
        <w:tc>
          <w:tcPr>
            <w:tcW w:w="16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Clearway Energy, Inc. and Clearway Energy LLC, excluding subsidiaries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20" w:type="dxa"/>
            <w:vAlign w:val="bottom"/>
          </w:tcPr>
          <w:p>
            <w:pPr>
              <w:spacing w:after="0"/>
              <w:rPr>
                <w:sz w:val="19"/>
                <w:szCs w:val="19"/>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accounts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2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Reserves, including debt service, distributions, performance obligations and other reserves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30"/>
        </w:trPr>
        <w:tc>
          <w:tcPr>
            <w:tcW w:w="2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Revolving credit facility availability</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liquidity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The Company’s liquidity includes $526 million and $401 million of restricted cash balances as of June 30, 2025 and December 31, 2024, respectively. Restricted cash consists primarily of funds to satisfy the requirements of certain debt arrangements and funds held within the Company’s facilities that are restricted in their use. As of </w:t>
      </w:r>
      <w:r>
        <w:rPr>
          <w:rFonts w:ascii="Times New Roman" w:cs="Times New Roman" w:eastAsia="Times New Roman" w:hAnsi="Times New Roman"/>
          <w:sz w:val="18"/>
          <w:szCs w:val="18"/>
          <w:color w:val="000000"/>
        </w:rPr>
        <w:t>June 30, 2025, these restricted funds were comprised of $112 million designated to fund operating expenses,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approximately $176 million designated for current debt service payments and $83 million restricted for reserves including debt service, performance obligations and other reserves, as well as capital expenditures. The remaining $155 million is held in distribution reserve accounts.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Clearway Energy LLC and Clearway Energy Operating LLC Revolving Credit Facility</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 of June 30, 2025, the Company had $112 million in outstanding borrowings under the revolving credit facility and $76 million in letters of credit outstanding. On July 10, 2025, the Company borrowed an additional $123 million under the revolving credit facility, primarily to support the acquisition of Catalina on July 16, 2025, as described in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facility will continue to be used for general corporate purposes including financing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future investments or acquisitions and posting letters of credit.</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9" w:name="page50"/>
    <w:bookmarkEnd w:id="49"/>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credit ratings for the Company and its Senior Notes as of June 30,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6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S&amp;P</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Moody’s</w:t>
            </w:r>
          </w:p>
        </w:tc>
      </w:tr>
      <w:tr>
        <w:trPr>
          <w:trHeight w:val="23"/>
        </w:trPr>
        <w:tc>
          <w:tcPr>
            <w:tcW w:w="8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Clearway Energy, Inc.</w:t>
            </w:r>
          </w:p>
        </w:tc>
        <w:tc>
          <w:tcPr>
            <w:tcW w:w="1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4.750% Senior Notes, due 2028</w:t>
            </w: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3.750% Senior Notes, due 2031</w:t>
            </w:r>
          </w:p>
        </w:tc>
        <w:tc>
          <w:tcPr>
            <w:tcW w:w="16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Ba2</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3.750% Senior Notes, due 2032</w:t>
            </w: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Ba2</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Note 7,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231F20"/>
        </w:rPr>
        <w:t xml:space="preserve">, to this Form 10-Q and Item 15 — Note 10,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231F20"/>
        </w:rPr>
        <w:t>, to the consolidated financial statements included in the Company’s 2024 Form 10-K, the Company’s financing arrangements consist of corporate level debt, which includes Senior Notes and the revolving credit facility; the ATM Program; and facility-level financings for its various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Uses of Liquidity</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The Company’s requirements for liquidity and capital resources, other than for operating its facilities, are categorized as: (i) debt service obligations, as described more fully in </w:t>
      </w:r>
      <w:r>
        <w:rPr>
          <w:rFonts w:ascii="Times New Roman" w:cs="Times New Roman" w:eastAsia="Times New Roman" w:hAnsi="Times New Roman"/>
          <w:sz w:val="18"/>
          <w:szCs w:val="18"/>
          <w:color w:val="000000"/>
        </w:rPr>
        <w:t>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231F20"/>
        </w:rPr>
        <w:t xml:space="preserve">; (ii) capital expenditures; (iii) off-balance sheet arrangements; (iv) acquisitions and investments, as described more fully in </w:t>
      </w:r>
      <w:r>
        <w:rPr>
          <w:rFonts w:ascii="Times New Roman" w:cs="Times New Roman" w:eastAsia="Times New Roman" w:hAnsi="Times New Roman"/>
          <w:sz w:val="18"/>
          <w:szCs w:val="18"/>
          <w:color w:val="000000"/>
        </w:rPr>
        <w:t>Note 3,</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Acquisitions</w:t>
      </w:r>
      <w:r>
        <w:rPr>
          <w:rFonts w:ascii="Times New Roman" w:cs="Times New Roman" w:eastAsia="Times New Roman" w:hAnsi="Times New Roman"/>
          <w:sz w:val="18"/>
          <w:szCs w:val="18"/>
          <w:color w:val="231F20"/>
        </w:rPr>
        <w:t>; and (v) cash dividends to investors.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Capital Expenditures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increase the operating capacity of existing assets and costs to complete the construction of assets where construction is in process.</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 xml:space="preserve">For the six months ended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the Company used approximately $132 million to fund capital expenditures, including growth </w:t>
      </w:r>
      <w:r>
        <w:rPr>
          <w:rFonts w:ascii="Times New Roman" w:cs="Times New Roman" w:eastAsia="Times New Roman" w:hAnsi="Times New Roman"/>
          <w:sz w:val="18"/>
          <w:szCs w:val="18"/>
          <w:color w:val="000000"/>
        </w:rPr>
        <w:t>expenditures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of $123 million, primarily in the Renewables &amp; Storage segment, funded through construction-related financing. Growth capital expenditures included $32 million incurred in connection with the Rosamond South I solar and BESS facility, $29 million incurred in connection with the Dan’s Mountain wind facility, $17 million incurred in connection with the repowering of the Cedro Hill wind facility, $14 million incurred in connection with the Luna Valley solar facility, $10 million incurred in connection with the Victory Pass and Arica solar and BESS facilities, $9 million incurred in connection with the Pine Forest solar and BESS facility, $7 million incurred in connection with the Daggett 1 BESS facility and $5 million incurred by other facilities. </w:t>
      </w:r>
      <w:r>
        <w:rPr>
          <w:rFonts w:ascii="Times New Roman" w:cs="Times New Roman" w:eastAsia="Times New Roman" w:hAnsi="Times New Roman"/>
          <w:sz w:val="18"/>
          <w:szCs w:val="18"/>
          <w:color w:val="231F20"/>
        </w:rPr>
        <w:t>In addition,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the Company incurred </w:t>
      </w:r>
      <w:r>
        <w:rPr>
          <w:rFonts w:ascii="Times New Roman" w:cs="Times New Roman" w:eastAsia="Times New Roman" w:hAnsi="Times New Roman"/>
          <w:sz w:val="18"/>
          <w:szCs w:val="18"/>
          <w:color w:val="000000"/>
        </w:rPr>
        <w:t>$9 million of maintenance capital expenditures, which is net of credits received from equipment manufacturers.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under Certain Guarantee Contracts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Company may enter into guarantee arrangements in the normal course of business to facilitate commercial transactions with third parties.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Retained or Contingent Interests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does not have any material retained or contingent interests in assets transferred to an unconsolidated entity.</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Arising Out of a Variable Interest in an Unconsolidated Entity</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Variable interest in equity investments </w:t>
      </w:r>
      <w:r>
        <w:rPr>
          <w:rFonts w:ascii="Times New Roman" w:cs="Times New Roman" w:eastAsia="Times New Roman" w:hAnsi="Times New Roman"/>
          <w:sz w:val="18"/>
          <w:szCs w:val="18"/>
          <w:color w:val="auto"/>
        </w:rPr>
        <w:t>— As of June 30, 2025, the Company has several investments with an ownership interest percentage of 50%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GenConn is a VIE for which the Company is not the primary beneficiary. The Company’s pro-rata share of non-recourse debt held by unconsolidated affiliates was approximately $273 million as of June 30, 2025. This indebtedness may restrict the ability of these subsidiaries to issue dividends or distributions to the Company.</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w:t>
      </w:r>
      <w:r>
        <w:rPr>
          <w:rFonts w:ascii="Times New Roman" w:cs="Times New Roman" w:eastAsia="Times New Roman" w:hAnsi="Times New Roman"/>
          <w:sz w:val="18"/>
          <w:szCs w:val="18"/>
          <w:color w:val="231F20"/>
        </w:rPr>
        <w:t>2024</w:t>
      </w:r>
      <w:r>
        <w:rPr>
          <w:rFonts w:ascii="Times New Roman" w:cs="Times New Roman" w:eastAsia="Times New Roman" w:hAnsi="Times New Roman"/>
          <w:sz w:val="18"/>
          <w:szCs w:val="18"/>
          <w:color w:val="auto"/>
        </w:rPr>
        <w:t xml:space="preserve"> Form 10-K.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Investments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12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212529"/>
        </w:rPr>
        <w:t xml:space="preserve">Catalina Solar Acquisition </w:t>
      </w:r>
      <w:r>
        <w:rPr>
          <w:rFonts w:ascii="Times New Roman" w:cs="Times New Roman" w:eastAsia="Times New Roman" w:hAnsi="Times New Roman"/>
          <w:sz w:val="18"/>
          <w:szCs w:val="18"/>
          <w:color w:val="000000"/>
        </w:rPr>
        <w:t>— On July 16, 2025, the Company, through its indirect subsidiary, Catalina Solar Investment LLC, acquired Catalina</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000000"/>
        </w:rPr>
        <w:t>Solar Lessee Holdco LLC, which leases and operates the Catalina solar facility, from a third-party for approximately $127 million. Catalina reached commercial operations in 2013 and has a PPA with an investment-grade utility through 2038. The acquisition was funded with existing sources of liquidity. The Company estimates that its net capital investment in Catalina will be $125 million after factoring in cash acquired and estimated transaction expenses.</w:t>
      </w:r>
    </w:p>
    <w:p>
      <w:pPr>
        <w:spacing w:after="0" w:line="12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Pine Forest Drop Down </w:t>
      </w:r>
      <w:r>
        <w:rPr>
          <w:rFonts w:ascii="Times New Roman" w:cs="Times New Roman" w:eastAsia="Times New Roman" w:hAnsi="Times New Roman"/>
          <w:sz w:val="18"/>
          <w:szCs w:val="18"/>
          <w:color w:val="auto"/>
        </w:rPr>
        <w:t>— On June 10, 2025, the Company, through its indirect subsidiary, Pine Forest CE Class A Owner LLC, acquired the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membership interests in Pine Forest TargetCo, a partnership and the indirect owner of the Pine Forest solar and BESS facility, from Clearway Renew for initial cash consideration of $18 million. Also on June 10, 2025, the Company, through its indirect subsidiary, Pine Forest TE Class A, contributed $9 million to acquire the Class A membership interests in Pine Forest TE HoldCo LLC. At substantial completion, which is expected to occur in the second half of 2025, the Company estimates it will pay an additional $72 million to Clearway Renew for its Class A membership interests in Pine Forest TargetCo and will contribute an additional $37 million for its Class A membership interests in Pine Forest TE HoldCo LLC. The Company estimates that its total capital investment in Pine Forest TargetCo will be $136 million, excluding the impact of any closing adjustments noted in the purchase agreement. Pine Forest has PPAs for the solar facility with investment-grade counterparties and a 20-year weighted average contract duration that will commence when the underlying operating assets reach commercial operations, which is expected to occur in the second half of 2025. The acquisition was funded with existing sources of liquidity. As part of the acquisition of Pine Forest, the Company assumed the facility’s financing agreement, which included a construction loan that converts to a term loan when the facility reaches substantial completion, a cash equity bridge loan, a tax equity bridge loan and a tax credit transfer bridge loan, all of which will be completely paid off when the facility reaches substantial completion. Subsequent to the acquisition, the Company borrowed an additional $14 million in cash equity bridge loans through June 30, 2025.</w:t>
      </w:r>
    </w:p>
    <w:p>
      <w:pPr>
        <w:spacing w:after="0" w:line="13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Dan’s Mountain Drop Down </w:t>
      </w:r>
      <w:r>
        <w:rPr>
          <w:rFonts w:ascii="Times New Roman" w:cs="Times New Roman" w:eastAsia="Times New Roman" w:hAnsi="Times New Roman"/>
          <w:sz w:val="18"/>
          <w:szCs w:val="18"/>
          <w:color w:val="auto"/>
        </w:rPr>
        <w:t>— On May 21, 2025, when the Dan’s Mountain wind facility reached substantial completion, the Company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$36 million to Clearway Renew as additional purchase price in connection with the Company’s acquisition of the Class A membership interests in Dan’s Mountain TargetCo on November 18, 2024, which was funded with existing sources of liquidity. Also on May 21, 2025, a third-party cash equity investor contributed $45 million to acquire the Class B membership interests in Dan’s Mountain TargetCo from Clearway Renew and the tax equity investor contributed an additional $90 million. The Company utilized the combined proceeds from the cash equity and tax equity investors, along with the Company’s entire additional purchase price, which was contributed back to the Company by CEG, and the $18 million previously held in escrow, to repay the tax equity bridge loan, to repay the cash equity bridge loan and to pay associated fees with the remaining proceeds distributed to CEG. Prior to substantial completion being reached, the Company borrowed an additional $18 million in construction loans during 2025. The Company’s total capital investment in Dan’s Mountain was $43 million.</w:t>
      </w:r>
    </w:p>
    <w:p>
      <w:pPr>
        <w:spacing w:after="0" w:line="13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Tuolumne Wind Acquisition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April 29, 2025, the Company, through its indirect subsidiary, Washington Wind LLC, acquired the Tuolumne 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from an investment-grade regulated entity for approximately $210 million, which excludes $1 million in transaction expenses incurred in connection with the acquisition during the six months ended June 30, 2025. Tuolumne reached commercial operations in 2009. In connection with the acquisition, the Company entered into a 15-year PPA with an investment-grade regulated entity that commenced in April 2025. Also in connection with the acquisition, the Company entered into a financing agreement, which included the issuance of a $163 million term loan, as well as $22 million in letters of credit in support of debt service and facility obligations, supported by the Company’s interests in the Tuolumne wind facility. The acquisition was funded with the borrowings under the new financing agreement, as well as existing sources of liquidity. The Company’s net capital investment in Tuolumne was $59 million.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1" w:name="page52"/>
    <w:bookmarkEnd w:id="51"/>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Luna Valley Drop Down </w:t>
      </w:r>
      <w:r>
        <w:rPr>
          <w:rFonts w:ascii="Times New Roman" w:cs="Times New Roman" w:eastAsia="Times New Roman" w:hAnsi="Times New Roman"/>
          <w:sz w:val="18"/>
          <w:szCs w:val="18"/>
          <w:color w:val="auto"/>
        </w:rPr>
        <w:t>— On April 29, 2025, the Company, through its indirect subsidiary, LV-Daggett Parent Holdco LLC, acquired Luna Valley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the indirect owner of the Luna Valley solar facility, from Clearway Renew for initial cash consideration of $18 million. At substantial completion, which is expected to occur in the second half of 2025, the Company estimates it will pay an additional $72 million to Clearway Renew. The Company estimates that its total capital investment in Luna Valley Class B will be $90 million, excluding the impact of any closing adjustments noted in the purchase agreement. Luna Valley has PPAs with investment-grade counterparties that have a 17-year weighted average contract duration that commence when the underlying operating assets reach commercial operations, which is expected to occur in the second half of 2025. The acquisition was funded with existing sources of liquidity. As part of the acquisition of Luna Valley, the Company assumed the facility’s financing agreement, which included a construction loan that converts to a term loan when the facility reaches substantial completion, a cash equity bridge loan that was partially paid off at acquisition date and a tax equity bridge loan, both of which will be repaid when the facility reaches substantial completion. Subsequent to the acquisition, the Company borrowed an additional $17 million in construction loans through June 30, 2025.</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Daggett 1 Drop Down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April 29, 2025, the Company, through its indirect subsidiary, LV-Daggett Parent Holdco LLC, acquired Daggett 1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the indirect owner of the Daggett 1 BESS facility, from Clearway Renew for initial cash consideration of $11 million. At substantial completion, which is expected to occur in the second half of 2025, the Company estimates it will pay an additional $42 million to Clearway Renew. The Company estimates that its total capital investment in Daggett 1 Class B will be $53 million, excluding the impact of any closing adjustments noted in the purchase agreement. Daggett 1 has a PPA for capacity with an investment-grade counterparty for a contract duration of 15 years that commences when the facility reaches commercial operations, which is expected to occur in the second half of 2025. The acquisition was funded with existing sources of liquidity. As part of the acquisition of Daggett 1, the Company assumed the facility’s financing agreement, which included a construction loan that converts to a term loan when the facility reaches substantial completion and a tax equity bridge loan that will be repaid when the facility reaches substantial completion. Subsequent to the acquisition, the Company borrowed an additional $7 million in construction loans through June 30, 2025.</w:t>
      </w:r>
    </w:p>
    <w:p>
      <w:pPr>
        <w:spacing w:after="0" w:line="13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Rosamond South I Drop Down </w:t>
      </w:r>
      <w:r>
        <w:rPr>
          <w:rFonts w:ascii="Times New Roman" w:cs="Times New Roman" w:eastAsia="Times New Roman" w:hAnsi="Times New Roman"/>
          <w:sz w:val="18"/>
          <w:szCs w:val="18"/>
          <w:color w:val="auto"/>
        </w:rPr>
        <w:t>— On March 20, 2025, the Company, through its indirect subsidiary, Rosamond South Investment LLC, acquired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membership interests in Rosie South TargetCo, a partnership and the indirect owner of the Rosamond South I solar and BESS facility, from Clearway Renew for initial cash consideration of $4 million. At substantial completion, which is expected to occur in the second half of 2025, the Company estimates it will pay an additional $17 million to Clearway Renew. The Company estimates that its total capital investment in Rosie South TargetCo will be $21 million, excluding the impact of any closing adjustments noted in the purchase agreement. Rosamond South I has PPAs with investment-grade counterparties that have a 15-year weighted average contract duration that commence when the underlying operating assets reach commercial operations, which is expected to occur in the second half of 2025. The acquisition was funded with existing sources of liquidity. As part of the acquisition of Rosamond South I, the Company assumed the facility’s financing agreement, which included a construction loan that converts to a term loan when the facility reaches substantial completion, a cash equity bridge loan that was paid off at acquisition date and a tax equity bridge loan that will be repaid when the facility reaches substantial completion. Subsequent to the acquisition, the Company borrowed an additional $35 million in construction loans through June 30, 2025.</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Dividends to Investors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w:t>
      </w:r>
      <w:r>
        <w:rPr>
          <w:rFonts w:ascii="Times New Roman" w:cs="Times New Roman" w:eastAsia="Times New Roman" w:hAnsi="Times New Roman"/>
          <w:sz w:val="18"/>
          <w:szCs w:val="18"/>
          <w:color w:val="000000"/>
        </w:rPr>
        <w:t>he Class A common stock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dividends paid on the Company’s Class A common stock and Class C common stock during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 2025</w:t>
            </w: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Class A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0.4312</w:t>
            </w:r>
          </w:p>
        </w:tc>
        <w:tc>
          <w:tcPr>
            <w:tcW w:w="0" w:type="dxa"/>
            <w:vAlign w:val="bottom"/>
          </w:tcPr>
          <w:p>
            <w:pPr>
              <w:spacing w:after="0"/>
              <w:rPr>
                <w:sz w:val="1"/>
                <w:szCs w:val="1"/>
                <w:color w:val="auto"/>
              </w:rPr>
            </w:pP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per Class C share</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0.4384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0.4312</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August 4, 2025, the Company declared quarterly dividends on its Class A and Class C common stock of $0.4456 per share payable on September 16, 2025 to stockholders of record as of September 2, 2025.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reflect the changes in cash flows for the comparative periods: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9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7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7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6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(398)</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165</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ectPr>
          <w:pgSz w:w="11900" w:h="16838" w:orient="portrait"/>
          <w:cols w:equalWidth="0" w:num="1">
            <w:col w:w="11240"/>
          </w:cols>
          <w:pgMar w:left="320" w:top="887" w:right="339" w:bottom="1440" w:gutter="0" w:footer="0" w:header="0"/>
        </w:sectPr>
      </w:pP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5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140"/>
        <w:spacing w:after="0" w:line="234" w:lineRule="auto"/>
        <w:rPr>
          <w:sz w:val="20"/>
          <w:szCs w:val="20"/>
          <w:color w:val="auto"/>
        </w:rPr>
      </w:pPr>
      <w:r>
        <w:rPr>
          <w:rFonts w:ascii="Times New Roman" w:cs="Times New Roman" w:eastAsia="Times New Roman" w:hAnsi="Times New Roman"/>
          <w:sz w:val="18"/>
          <w:szCs w:val="18"/>
          <w:color w:val="auto"/>
        </w:rPr>
        <w:t>Increase from changes in working capital primarily driven by the timing of accounts receivable collections and payments of current liabilities, including accounts payable and current income taxes</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Partial buy-down of the Mt. Storm commodity contract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operating income after adjusting for non-cash items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cash paid for Drop Down Assets, net of cash acquired</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 paid for acquisitions related to the Tuolumne wind acquisition in 2025</w:t>
      </w:r>
    </w:p>
    <w:p>
      <w:pPr>
        <w:spacing w:after="0" w:line="23" w:lineRule="exact"/>
        <w:rPr>
          <w:sz w:val="20"/>
          <w:szCs w:val="20"/>
          <w:color w:val="auto"/>
        </w:rPr>
      </w:pPr>
    </w:p>
    <w:p>
      <w:pPr>
        <w:ind w:left="140" w:right="1240"/>
        <w:spacing w:after="0" w:line="292" w:lineRule="auto"/>
        <w:rPr>
          <w:sz w:val="20"/>
          <w:szCs w:val="20"/>
          <w:color w:val="auto"/>
        </w:rPr>
      </w:pPr>
      <w:r>
        <w:rPr>
          <w:rFonts w:ascii="Times New Roman" w:cs="Times New Roman" w:eastAsia="Times New Roman" w:hAnsi="Times New Roman"/>
          <w:sz w:val="18"/>
          <w:szCs w:val="18"/>
          <w:color w:val="auto"/>
        </w:rPr>
        <w:t>Repayment of note receivable – affiliate in 2024 related to the Rosie Class B LLC loan issued to Clearway Renew Decrease in the return of investment from unconsolidated affiliates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net cash provided by (used in)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40" w:right="2360"/>
        <w:spacing w:after="0" w:line="268" w:lineRule="auto"/>
        <w:rPr>
          <w:sz w:val="20"/>
          <w:szCs w:val="20"/>
          <w:color w:val="auto"/>
        </w:rPr>
      </w:pPr>
      <w:r>
        <w:rPr>
          <w:rFonts w:ascii="Times New Roman" w:cs="Times New Roman" w:eastAsia="Times New Roman" w:hAnsi="Times New Roman"/>
          <w:sz w:val="18"/>
          <w:szCs w:val="18"/>
          <w:color w:val="auto"/>
        </w:rPr>
        <w:t>Decrease in payments for long-term debt and increase in proceeds from issuance of long-term debt Proceeds from the revolving credit facility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Decrease in contributions from noncontrolling interests, net of distributions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in dividends paid to common stockholders and distributions paid to CEG unit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Pro-rata distributions to CEG in 2025</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in payments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19" w:lineRule="exact"/>
        <w:rPr>
          <w:sz w:val="20"/>
          <w:szCs w:val="20"/>
          <w:color w:val="auto"/>
        </w:rPr>
      </w:pPr>
    </w:p>
    <w:p>
      <w:pPr>
        <w:ind w:left="1000" w:hanging="991"/>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w:t>
      </w:r>
    </w:p>
    <w:p>
      <w:pPr>
        <w:spacing w:after="0" w:line="27"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2"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p>
    <w:p>
      <w:pPr>
        <w:spacing w:after="0" w:line="22"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31" w:lineRule="exact"/>
        <w:rPr>
          <w:sz w:val="20"/>
          <w:szCs w:val="20"/>
          <w:color w:val="auto"/>
        </w:rPr>
      </w:pPr>
    </w:p>
    <w:p>
      <w:pPr>
        <w:ind w:left="1100" w:hanging="1091"/>
        <w:spacing w:after="0"/>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8058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920" w:hanging="911"/>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(211)</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(184)</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w:t>
      </w:r>
    </w:p>
    <w:p>
      <w:pPr>
        <w:spacing w:after="0" w:line="31" w:lineRule="exact"/>
        <w:rPr>
          <w:sz w:val="20"/>
          <w:szCs w:val="20"/>
          <w:color w:val="auto"/>
        </w:rPr>
      </w:pPr>
    </w:p>
    <w:p>
      <w:pPr>
        <w:ind w:left="920" w:hanging="911"/>
        <w:spacing w:after="0"/>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8058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780" w:hanging="771"/>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1,205</w:t>
      </w:r>
    </w:p>
    <w:p>
      <w:pPr>
        <w:spacing w:after="0" w:line="27"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(1,019)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w:t>
      </w:r>
    </w:p>
    <w:p>
      <w:pPr>
        <w:spacing w:after="0" w:line="31" w:lineRule="exact"/>
        <w:rPr>
          <w:sz w:val="20"/>
          <w:szCs w:val="20"/>
          <w:color w:val="auto"/>
        </w:rPr>
      </w:pPr>
    </w:p>
    <w:p>
      <w:pPr>
        <w:ind w:left="920" w:hanging="911"/>
        <w:spacing w:after="0"/>
        <w:tabs>
          <w:tab w:leader="none" w:pos="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8058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00" w:space="380"/>
            <w:col w:w="1260"/>
          </w:cols>
          <w:pgMar w:left="320" w:top="8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NOLs, Deferred Tax Assets and Uncertain Tax Position Implications, under ASC 740</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a cumulative federal NOL carryforward balance of $278 million for financial statement purposes, none of which were subject to expiration. Additionally, as of December 31, 2024, the Company had a cumulative state NOL carryforward balance of $99 million for financial statement purposes, which will expire between 2025 and 2041 if unutilized. The Company does not anticipate material income tax payments through 2026. In addition, as of December 31, 2024, the Company had PTC and ITC carryforward balances totaling $23 million, which will expire between 2035 and 2044 if unutilized.</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an interest disallowance carryforward of $82 million as a result of Internal Revenue Code §163(j). The disallowed interest deduction has an indefinite carryforward period and any limitations on the utilization of this carryforward have been factored into the Company’s valuation allowance analysis.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after the utilization of various federal and state NOL carryforwards, paid $1 million in federal and state income taxes during the six months ended June 30, 2025 and does not expect to pay material federal or state income taxes for the remainder of the current year. The Company does not anticipate being subject to the 15% corporate minimum tax on financial statement income.</w:t>
      </w:r>
    </w:p>
    <w:p>
      <w:pPr>
        <w:spacing w:after="0" w:line="122" w:lineRule="exact"/>
        <w:rPr>
          <w:sz w:val="20"/>
          <w:szCs w:val="20"/>
          <w:color w:val="auto"/>
        </w:rPr>
      </w:pPr>
    </w:p>
    <w:p>
      <w:pPr>
        <w:jc w:val="both"/>
        <w:ind w:firstLine="405"/>
        <w:spacing w:after="0" w:line="273" w:lineRule="auto"/>
        <w:rPr>
          <w:sz w:val="20"/>
          <w:szCs w:val="20"/>
          <w:color w:val="auto"/>
        </w:rPr>
      </w:pPr>
      <w:r>
        <w:rPr>
          <w:rFonts w:ascii="Times New Roman" w:cs="Times New Roman" w:eastAsia="Times New Roman" w:hAnsi="Times New Roman"/>
          <w:sz w:val="18"/>
          <w:szCs w:val="18"/>
          <w:color w:val="auto"/>
        </w:rPr>
        <w:t>Federal tax legislation enacted on July 4, 2025 contains a number of revisions to the Internal Revenue Code, including adjustments to the business interest expense disallowance calculation, accelerated tax depreciation and business tax credits and incentives for the development of clean energy facilities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production of clean energy, including wind, solar and BESS facilities. The Company is evaluating the potential impact of this legislation and does not anticipate the foregoing tax provisions will have a material impact on its consolidated financial statements. The Company will continue to monitor for guidance issued by the United States Department of the Treasury to assess for potential impact on its consolidated financial statements.</w:t>
      </w:r>
    </w:p>
    <w:p>
      <w:pPr>
        <w:spacing w:after="0" w:line="12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is subject to examination by taxing authorities for income tax returns filed in the U.S. federal and various state jurisdictions. All tax returns filed by the Company for the year ended December 31, 2013 and forward remain subject to audit. As of December 31, 2024, the U.S. federal partnership returns of three of the Company’s subsidiaries are under audit by the IRS. The IRS has issued proposed adjustments with respect to all three of the subsidiaries under audit. The Company believes that such proposed adjustments are without merit and in any case would not impact the Company’s tax liability or the tax liability of such subsidiary. The Company believes that the ultimate resolution of each of these audits will not be material to the Company’s financial condition, results of operations or liquidity, and thus no material provision has been made for any adjustments that may result from tax examinations. The outcome of tax audits cannot be predicted with certainty and if any issues addressed in tax audits of the Company are resolved in a manner inconsistent with its expectations, the Company could be required to adjust its provision for income taxes in the period such resolution occurs.</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had no material uncertain tax benefits as of June 30,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based on their level within the fair value hierarchy defined in ASC 820; and indicate the maturities of contracts at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For a full discussion of the Company’s valuation methodology of its contracts, see </w:t>
      </w:r>
      <w:r>
        <w:rPr>
          <w:rFonts w:ascii="Times New Roman" w:cs="Times New Roman" w:eastAsia="Times New Roman" w:hAnsi="Times New Roman"/>
          <w:sz w:val="18"/>
          <w:szCs w:val="18"/>
          <w:i w:val="1"/>
          <w:iCs w:val="1"/>
          <w:color w:val="231F20"/>
        </w:rPr>
        <w:t>Derivative Fair Value Measurements</w:t>
      </w:r>
      <w:r>
        <w:rPr>
          <w:rFonts w:ascii="Times New Roman" w:cs="Times New Roman" w:eastAsia="Times New Roman" w:hAnsi="Times New Roman"/>
          <w:sz w:val="18"/>
          <w:szCs w:val="18"/>
          <w:color w:val="231F20"/>
        </w:rPr>
        <w:t xml:space="preserve"> in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Derivative Activity (Losses) Gains</w:t>
            </w:r>
          </w:p>
        </w:tc>
        <w:tc>
          <w:tcPr>
            <w:tcW w:w="180" w:type="dxa"/>
            <w:vAlign w:val="bottom"/>
          </w:tcPr>
          <w:p>
            <w:pPr>
              <w:spacing w:after="0"/>
              <w:rPr>
                <w:sz w:val="18"/>
                <w:szCs w:val="18"/>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contracts as of December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20" w:type="dxa"/>
            <w:vAlign w:val="bottom"/>
          </w:tcPr>
          <w:p>
            <w:pPr>
              <w:spacing w:after="0"/>
              <w:rPr>
                <w:sz w:val="19"/>
                <w:szCs w:val="19"/>
                <w:color w:val="auto"/>
              </w:rPr>
            </w:pPr>
          </w:p>
        </w:tc>
        <w:tc>
          <w:tcPr>
            <w:tcW w:w="9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Contracts realized or otherwise settled during the period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20" w:type="dxa"/>
            <w:vAlign w:val="bottom"/>
            <w:shd w:val="clear" w:color="auto" w:fill="CCEEFF"/>
          </w:tcPr>
          <w:p>
            <w:pPr>
              <w:spacing w:after="0"/>
              <w:rPr>
                <w:sz w:val="19"/>
                <w:szCs w:val="19"/>
                <w:color w:val="auto"/>
              </w:rPr>
            </w:pPr>
          </w:p>
        </w:tc>
        <w:tc>
          <w:tcPr>
            <w:tcW w:w="9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fair value</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2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of contracts as of June 30,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of contracts as of June 30, 2025</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 Hierarchy (Losses) Gains</w:t>
            </w: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4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80" w:type="dxa"/>
            <w:vAlign w:val="bottom"/>
          </w:tcPr>
          <w:p>
            <w:pPr>
              <w:spacing w:after="0"/>
              <w:rPr>
                <w:sz w:val="16"/>
                <w:szCs w:val="16"/>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2240" w:type="dxa"/>
            <w:vAlign w:val="bottom"/>
            <w:tcBorders>
              <w:bottom w:val="single" w:sz="8" w:color="auto"/>
            </w:tcBorders>
            <w:vMerge w:val="continue"/>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1 Year or Less</w:t>
            </w:r>
          </w:p>
        </w:tc>
        <w:tc>
          <w:tcPr>
            <w:tcW w:w="124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1 Year to 3 Years</w:t>
            </w:r>
          </w:p>
        </w:tc>
        <w:tc>
          <w:tcPr>
            <w:tcW w:w="12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3 Years to 5 Years</w:t>
            </w:r>
          </w:p>
        </w:tc>
        <w:tc>
          <w:tcPr>
            <w:tcW w:w="16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Pr>
          <w:p>
            <w:pPr>
              <w:spacing w:after="0"/>
              <w:rPr>
                <w:sz w:val="12"/>
                <w:szCs w:val="12"/>
                <w:color w:val="auto"/>
              </w:rPr>
            </w:pPr>
          </w:p>
        </w:tc>
        <w:tc>
          <w:tcPr>
            <w:tcW w:w="960" w:type="dxa"/>
            <w:vAlign w:val="bottom"/>
          </w:tcPr>
          <w:p>
            <w:pPr>
              <w:jc w:val="center"/>
              <w:ind w:right="97"/>
              <w:spacing w:after="0" w:line="142"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9"/>
              </w:rPr>
              <w:t>19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9"/>
              </w:rPr>
              <w:t>64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35"/>
              <w:spacing w:after="0"/>
              <w:rPr>
                <w:sz w:val="20"/>
                <w:szCs w:val="20"/>
                <w:color w:val="auto"/>
              </w:rPr>
            </w:pPr>
            <w:r>
              <w:rPr>
                <w:rFonts w:ascii="Times New Roman" w:cs="Times New Roman" w:eastAsia="Times New Roman" w:hAnsi="Times New Roman"/>
                <w:sz w:val="18"/>
                <w:szCs w:val="18"/>
                <w:color w:val="auto"/>
                <w:w w:val="99"/>
              </w:rPr>
              <w:t>(56)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8"/>
                <w:szCs w:val="18"/>
                <w:color w:val="auto"/>
                <w:w w:val="99"/>
              </w:rPr>
              <w:t>(93)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17"/>
              <w:spacing w:after="0"/>
              <w:rPr>
                <w:sz w:val="20"/>
                <w:szCs w:val="20"/>
                <w:color w:val="auto"/>
              </w:rPr>
            </w:pPr>
            <w:r>
              <w:rPr>
                <w:rFonts w:ascii="Times New Roman" w:cs="Times New Roman" w:eastAsia="Times New Roman" w:hAnsi="Times New Roman"/>
                <w:sz w:val="18"/>
                <w:szCs w:val="18"/>
                <w:color w:val="auto"/>
                <w:w w:val="97"/>
              </w:rPr>
              <w:t>(352)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9"/>
              </w:rPr>
              <w:t>(37)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9"/>
              </w:rPr>
              <w:t>(29)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w w:val="97"/>
              </w:rPr>
              <w:t>(252)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The Company has elected to disclose derivative assets and liabilities on a trade-by-trade basis and does not offset amounts at the counterparty master agreement level.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HLBV and determining the fair value of financial instruments.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 w:cs="Times New Roman" w:eastAsia="Times New Roman" w:hAnsi="Times New Roman"/>
          <w:sz w:val="18"/>
          <w:szCs w:val="18"/>
          <w:color w:val="000000"/>
        </w:rPr>
        <w:t>The following disclosures about market risk provide 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update to, and should be read in conjunction with, Item 7A — </w:t>
      </w:r>
      <w:r>
        <w:rPr>
          <w:rFonts w:ascii="Times New Roman" w:cs="Times New Roman" w:eastAsia="Times New Roman" w:hAnsi="Times New Roman"/>
          <w:sz w:val="18"/>
          <w:szCs w:val="18"/>
          <w:i w:val="1"/>
          <w:iCs w:val="1"/>
          <w:color w:val="000000"/>
        </w:rPr>
        <w:t>Quantitative and Qualitative Disclosures About Market Risk,</w:t>
      </w:r>
      <w:r>
        <w:rPr>
          <w:rFonts w:ascii="Times New Roman" w:cs="Times New Roman" w:eastAsia="Times New Roman" w:hAnsi="Times New Roman"/>
          <w:sz w:val="18"/>
          <w:szCs w:val="18"/>
          <w:color w:val="000000"/>
        </w:rPr>
        <w:t xml:space="preserve"> of the Company’s 2024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Commodity Price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Based on a sensitivity analysis using simplified assumptions, the impact of a $0.50 per MWh increase or decrease in power prices across the term of the long-term power commodity contracts would cause a change of approximately $4 million to the net value of the related derivatives as of June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 w:cs="Times New Roman" w:eastAsia="Times New Roman" w:hAnsi="Times New Roman"/>
          <w:sz w:val="18"/>
          <w:szCs w:val="18"/>
          <w:color w:val="000000"/>
        </w:rPr>
        <w:t>Note 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Derivative Instruments and Hedging Activities</w:t>
      </w:r>
      <w:r>
        <w:rPr>
          <w:rFonts w:ascii="Times New Roman" w:cs="Times New Roman" w:eastAsia="Times New Roman" w:hAnsi="Times New Roman"/>
          <w:sz w:val="18"/>
          <w:szCs w:val="18"/>
          <w:color w:val="231F20"/>
        </w:rPr>
        <w:t>, for more information.</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and most of its subsidiaries, enter into interest rate swaps intended to hedge the risks associated with interest rates on non-recourse facility-level debt or any potential refinancing of the Senior Notes. See Item 15 — </w:t>
      </w:r>
      <w:r>
        <w:rPr>
          <w:rFonts w:ascii="Times New Roman" w:cs="Times New Roman" w:eastAsia="Times New Roman" w:hAnsi="Times New Roman"/>
          <w:sz w:val="18"/>
          <w:szCs w:val="18"/>
          <w:color w:val="000000"/>
        </w:rPr>
        <w:t>Note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to the Company’s </w:t>
      </w:r>
      <w:r>
        <w:rPr>
          <w:rFonts w:ascii="Times New Roman" w:cs="Times New Roman" w:eastAsia="Times New Roman" w:hAnsi="Times New Roman"/>
          <w:sz w:val="18"/>
          <w:szCs w:val="18"/>
          <w:color w:val="000000"/>
        </w:rPr>
        <w:t>audited consolidated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financial statements for the year ended December 31, 2024 included in the 2024 Form 10-K </w:t>
      </w:r>
      <w:r>
        <w:rPr>
          <w:rFonts w:ascii="Times New Roman" w:cs="Times New Roman" w:eastAsia="Times New Roman" w:hAnsi="Times New Roman"/>
          <w:sz w:val="18"/>
          <w:szCs w:val="18"/>
          <w:color w:val="231F20"/>
        </w:rPr>
        <w:t>for more information about interest rate swaps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Company’s subsidiaries.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If all of the interest rate swaps had been discontinued on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the counterparties would have owed the Company </w:t>
      </w:r>
      <w:r>
        <w:rPr>
          <w:rFonts w:ascii="Times New Roman" w:cs="Times New Roman" w:eastAsia="Times New Roman" w:hAnsi="Times New Roman"/>
          <w:sz w:val="18"/>
          <w:szCs w:val="18"/>
          <w:color w:val="000000"/>
        </w:rPr>
        <w:t>$101 million.</w:t>
      </w:r>
      <w:r>
        <w:rPr>
          <w:rFonts w:ascii="Times New Roman" w:cs="Times New Roman" w:eastAsia="Times New Roman" w:hAnsi="Times New Roman"/>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8"/>
          <w:szCs w:val="18"/>
          <w:color w:val="000000"/>
        </w:rPr>
        <w:t>June 30,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31F20"/>
        </w:rPr>
        <w:t>, a change of 1%, or 100 basis points, in interest rates would result in an approximately $5 million change in market interest expense on a rolling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twelve-month basis.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the fair value of the Company’s debt was $8,421 million and the carrying value was $8,782 million. The Company estimates that a decrease of 1%, or 100 basis points, in market interest rates would have increased the fair value of its long-term debt by approximately $304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Liquidity Risk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Liquidity risk arises from the general funding needs of the Company’s activities and in the management of the Company’s assets and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Counterparty Credit Risk</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 13a-15(f) under the Exchange Act) during the quarter ended June 30, 2025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risk factors appears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Company’s 2024 Form 10-K. There have been no material changes in the Company’s risk factors since those reported in its 2024 Form 10-K.</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Plans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 director or officer (as defined in Rule 16a-1(f) of the Exchange Act)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8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3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Method of Filing</w:t>
            </w:r>
          </w:p>
        </w:tc>
      </w:tr>
      <w:tr>
        <w:trPr>
          <w:trHeight w:val="181"/>
        </w:trPr>
        <w:tc>
          <w:tcPr>
            <w:tcW w:w="2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w w:val="92"/>
              </w:rPr>
              <w:t>31.1</w:t>
            </w:r>
          </w:p>
        </w:tc>
        <w:tc>
          <w:tcPr>
            <w:tcW w:w="740" w:type="dxa"/>
            <w:vAlign w:val="bottom"/>
          </w:tcPr>
          <w:p>
            <w:pPr>
              <w:spacing w:after="0"/>
              <w:rPr>
                <w:sz w:val="15"/>
                <w:szCs w:val="15"/>
                <w:color w:val="auto"/>
              </w:rPr>
            </w:pPr>
          </w:p>
        </w:tc>
        <w:tc>
          <w:tcPr>
            <w:tcW w:w="580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color w:val="0000FF"/>
              </w:rPr>
              <w:t>Rule 13a-14(a)/15d-14(a) certification of Craig Cornelius.</w:t>
            </w:r>
          </w:p>
        </w:tc>
        <w:tc>
          <w:tcPr>
            <w:tcW w:w="136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auto"/>
              </w:rPr>
              <w:t>Filed herewith.</w:t>
            </w: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2"/>
              </w:rPr>
              <w:t>31.2</w:t>
            </w:r>
          </w:p>
        </w:tc>
        <w:tc>
          <w:tcPr>
            <w:tcW w:w="740" w:type="dxa"/>
            <w:vAlign w:val="bottom"/>
          </w:tcPr>
          <w:p>
            <w:pPr>
              <w:spacing w:after="0"/>
              <w:rPr>
                <w:sz w:val="17"/>
                <w:szCs w:val="17"/>
                <w:color w:val="auto"/>
              </w:rPr>
            </w:pPr>
          </w:p>
        </w:tc>
        <w:tc>
          <w:tcPr>
            <w:tcW w:w="3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Rule 13a-14(a)/15d-14(a) certification of Sarah Rubenstein.</w:t>
            </w:r>
          </w:p>
        </w:tc>
        <w:tc>
          <w:tcPr>
            <w:tcW w:w="1920" w:type="dxa"/>
            <w:vAlign w:val="bottom"/>
          </w:tcPr>
          <w:p>
            <w:pPr>
              <w:spacing w:after="0"/>
              <w:rPr>
                <w:sz w:val="17"/>
                <w:szCs w:val="17"/>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9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740" w:type="dxa"/>
            <w:vAlign w:val="bottom"/>
          </w:tcPr>
          <w:p>
            <w:pPr>
              <w:spacing w:after="0"/>
              <w:rPr>
                <w:sz w:val="17"/>
                <w:szCs w:val="17"/>
                <w:color w:val="auto"/>
              </w:rPr>
            </w:pPr>
          </w:p>
        </w:tc>
        <w:tc>
          <w:tcPr>
            <w:tcW w:w="58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Section 1350 Certification.</w:t>
            </w:r>
          </w:p>
        </w:tc>
        <w:tc>
          <w:tcPr>
            <w:tcW w:w="13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8"/>
              </w:rPr>
              <w:t>Furnished herewith.</w:t>
            </w: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INS</w:t>
            </w:r>
          </w:p>
        </w:tc>
        <w:tc>
          <w:tcPr>
            <w:tcW w:w="5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1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SCH</w:t>
            </w:r>
          </w:p>
        </w:tc>
        <w:tc>
          <w:tcPr>
            <w:tcW w:w="5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1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CAL</w:t>
            </w:r>
          </w:p>
        </w:tc>
        <w:tc>
          <w:tcPr>
            <w:tcW w:w="5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1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DEF</w:t>
            </w:r>
          </w:p>
        </w:tc>
        <w:tc>
          <w:tcPr>
            <w:tcW w:w="5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1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LAB</w:t>
            </w:r>
          </w:p>
        </w:tc>
        <w:tc>
          <w:tcPr>
            <w:tcW w:w="5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1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PRE</w:t>
            </w:r>
          </w:p>
        </w:tc>
        <w:tc>
          <w:tcPr>
            <w:tcW w:w="5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1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68"/>
        </w:trPr>
        <w:tc>
          <w:tcPr>
            <w:tcW w:w="2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104</w:t>
            </w:r>
          </w:p>
        </w:tc>
        <w:tc>
          <w:tcPr>
            <w:tcW w:w="740" w:type="dxa"/>
            <w:vAlign w:val="bottom"/>
          </w:tcPr>
          <w:p>
            <w:pPr>
              <w:spacing w:after="0"/>
              <w:rPr>
                <w:sz w:val="14"/>
                <w:szCs w:val="14"/>
                <w:color w:val="auto"/>
              </w:rPr>
            </w:pPr>
          </w:p>
        </w:tc>
        <w:tc>
          <w:tcPr>
            <w:tcW w:w="580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auto"/>
              </w:rPr>
              <w:t>Cover Page Interactive Data File (the cover page interactive data file does not appear in</w:t>
            </w:r>
          </w:p>
        </w:tc>
        <w:tc>
          <w:tcPr>
            <w:tcW w:w="1360" w:type="dxa"/>
            <w:vAlign w:val="bottom"/>
          </w:tcPr>
          <w:p>
            <w:pPr>
              <w:ind w:left="80"/>
              <w:spacing w:after="0" w:line="168" w:lineRule="exact"/>
              <w:rPr>
                <w:sz w:val="20"/>
                <w:szCs w:val="20"/>
                <w:color w:val="auto"/>
              </w:rPr>
            </w:pPr>
            <w:r>
              <w:rPr>
                <w:rFonts w:ascii="Times New Roman" w:cs="Times New Roman" w:eastAsia="Times New Roman" w:hAnsi="Times New Roman"/>
                <w:sz w:val="16"/>
                <w:szCs w:val="16"/>
                <w:color w:val="auto"/>
              </w:rPr>
              <w:t>Filed herewith.</w:t>
            </w:r>
          </w:p>
        </w:tc>
      </w:tr>
      <w:tr>
        <w:trPr>
          <w:trHeight w:val="162"/>
        </w:trPr>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0" w:type="dxa"/>
            <w:vAlign w:val="bottom"/>
            <w:gridSpan w:val="4"/>
          </w:tcPr>
          <w:p>
            <w:pPr>
              <w:spacing w:after="0" w:line="162" w:lineRule="exact"/>
              <w:rPr>
                <w:sz w:val="20"/>
                <w:szCs w:val="20"/>
                <w:color w:val="auto"/>
              </w:rPr>
            </w:pPr>
            <w:r>
              <w:rPr>
                <w:rFonts w:ascii="Times New Roman" w:cs="Times New Roman" w:eastAsia="Times New Roman" w:hAnsi="Times New Roman"/>
                <w:sz w:val="16"/>
                <w:szCs w:val="16"/>
                <w:color w:val="auto"/>
              </w:rPr>
              <w:t>Exhibit 104 because its Inline XBRL tags are embedded within the Inline XBRL</w:t>
            </w:r>
          </w:p>
        </w:tc>
        <w:tc>
          <w:tcPr>
            <w:tcW w:w="1360" w:type="dxa"/>
            <w:vAlign w:val="bottom"/>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document).</w:t>
            </w:r>
          </w:p>
        </w:tc>
        <w:tc>
          <w:tcPr>
            <w:tcW w:w="13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231F2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0"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CLEARWAY ENERGY, INC.</w:t>
      </w:r>
    </w:p>
    <w:p>
      <w:pPr>
        <w:ind w:left="6680"/>
        <w:spacing w:after="0"/>
        <w:rPr>
          <w:sz w:val="20"/>
          <w:szCs w:val="20"/>
          <w:color w:val="auto"/>
        </w:rPr>
      </w:pPr>
      <w:r>
        <w:rPr>
          <w:rFonts w:ascii="Times New Roman" w:cs="Times New Roman" w:eastAsia="Times New Roman" w:hAnsi="Times New Roman"/>
          <w:sz w:val="18"/>
          <w:szCs w:val="18"/>
          <w:color w:val="auto"/>
        </w:rPr>
        <w:t>(Registrant)</w:t>
      </w:r>
    </w:p>
    <w:p>
      <w:pPr>
        <w:spacing w:after="0" w:line="27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17145</wp:posOffset>
            </wp:positionV>
            <wp:extent cx="29057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Craig Cornelius</w:t>
      </w:r>
    </w:p>
    <w:p>
      <w:pPr>
        <w:spacing w:after="0" w:line="1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6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SARAH RUBENSTEIN</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Sarah Rubenstein</w:t>
            </w:r>
          </w:p>
        </w:tc>
        <w:tc>
          <w:tcPr>
            <w:tcW w:w="0" w:type="dxa"/>
            <w:vAlign w:val="bottom"/>
          </w:tcPr>
          <w:p>
            <w:pPr>
              <w:spacing w:after="0"/>
              <w:rPr>
                <w:sz w:val="1"/>
                <w:szCs w:val="1"/>
                <w:color w:val="auto"/>
              </w:rPr>
            </w:pPr>
          </w:p>
        </w:tc>
      </w:tr>
      <w:tr>
        <w:trPr>
          <w:trHeight w:val="182"/>
        </w:trPr>
        <w:tc>
          <w:tcPr>
            <w:tcW w:w="6640" w:type="dxa"/>
            <w:vAlign w:val="bottom"/>
          </w:tcPr>
          <w:p>
            <w:pPr>
              <w:spacing w:after="0"/>
              <w:rPr>
                <w:sz w:val="15"/>
                <w:szCs w:val="15"/>
                <w:color w:val="auto"/>
              </w:rPr>
            </w:pPr>
          </w:p>
        </w:tc>
        <w:tc>
          <w:tcPr>
            <w:tcW w:w="45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Executive Vice President and Chief Financial</w:t>
            </w:r>
          </w:p>
        </w:tc>
        <w:tc>
          <w:tcPr>
            <w:tcW w:w="0" w:type="dxa"/>
            <w:vAlign w:val="bottom"/>
          </w:tcPr>
          <w:p>
            <w:pPr>
              <w:spacing w:after="0"/>
              <w:rPr>
                <w:sz w:val="1"/>
                <w:szCs w:val="1"/>
                <w:color w:val="auto"/>
              </w:rPr>
            </w:pPr>
          </w:p>
        </w:tc>
      </w:tr>
      <w:tr>
        <w:trPr>
          <w:trHeight w:val="182"/>
        </w:trPr>
        <w:tc>
          <w:tcPr>
            <w:tcW w:w="6640" w:type="dxa"/>
            <w:vAlign w:val="bottom"/>
          </w:tcPr>
          <w:p>
            <w:pPr>
              <w:spacing w:after="0"/>
              <w:rPr>
                <w:sz w:val="15"/>
                <w:szCs w:val="15"/>
                <w:color w:val="auto"/>
              </w:rPr>
            </w:pPr>
          </w:p>
        </w:tc>
        <w:tc>
          <w:tcPr>
            <w:tcW w:w="45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Officer</w:t>
            </w:r>
          </w:p>
        </w:tc>
        <w:tc>
          <w:tcPr>
            <w:tcW w:w="0" w:type="dxa"/>
            <w:vAlign w:val="bottom"/>
          </w:tcPr>
          <w:p>
            <w:pPr>
              <w:spacing w:after="0"/>
              <w:rPr>
                <w:sz w:val="1"/>
                <w:szCs w:val="1"/>
                <w:color w:val="auto"/>
              </w:rPr>
            </w:pPr>
          </w:p>
        </w:tc>
      </w:tr>
      <w:tr>
        <w:trPr>
          <w:trHeight w:val="182"/>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45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w:t>
            </w:r>
          </w:p>
        </w:tc>
        <w:tc>
          <w:tcPr>
            <w:tcW w:w="0" w:type="dxa"/>
            <w:vAlign w:val="bottom"/>
          </w:tcPr>
          <w:p>
            <w:pPr>
              <w:spacing w:after="0"/>
              <w:rPr>
                <w:sz w:val="1"/>
                <w:szCs w:val="1"/>
                <w:color w:val="auto"/>
              </w:rPr>
            </w:pPr>
          </w:p>
        </w:tc>
      </w:tr>
      <w:tr>
        <w:trPr>
          <w:trHeight w:val="236"/>
        </w:trPr>
        <w:tc>
          <w:tcPr>
            <w:tcW w:w="6640" w:type="dxa"/>
            <w:vAlign w:val="bottom"/>
            <w:vMerge w:val="continue"/>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60</w:t>
      </w:r>
    </w:p>
    <w:p>
      <w:pPr>
        <w:sectPr>
          <w:pgSz w:w="11900" w:h="16838" w:orient="portrait"/>
          <w:cols w:equalWidth="0" w:num="1">
            <w:col w:w="11240"/>
          </w:cols>
          <w:pgMar w:left="320" w:top="88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Cornelius, certify that:</w:t>
      </w:r>
    </w:p>
    <w:p>
      <w:pPr>
        <w:spacing w:after="0" w:line="347"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17145</wp:posOffset>
            </wp:positionV>
            <wp:extent cx="18002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Craig Cornelius</w:t>
      </w:r>
    </w:p>
    <w:p>
      <w:pPr>
        <w:ind w:left="7200"/>
        <w:spacing w:after="0" w:line="203"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ectPr>
          <w:pgSz w:w="11900" w:h="16838" w:orient="portrait"/>
          <w:cols w:equalWidth="0" w:num="1">
            <w:col w:w="11240"/>
          </w:cols>
          <w:pgMar w:left="320" w:top="98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Rubenstein, certify that:</w:t>
      </w:r>
    </w:p>
    <w:p>
      <w:pPr>
        <w:spacing w:after="0" w:line="347"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17145</wp:posOffset>
            </wp:positionV>
            <wp:extent cx="18345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Sarah Rubenstein</w:t>
      </w:r>
    </w:p>
    <w:p>
      <w:pPr>
        <w:ind w:left="7520"/>
        <w:spacing w:after="0" w:line="219" w:lineRule="auto"/>
        <w:rPr>
          <w:sz w:val="20"/>
          <w:szCs w:val="20"/>
          <w:color w:val="auto"/>
        </w:rPr>
      </w:pPr>
      <w:r>
        <w:rPr>
          <w:rFonts w:ascii="Times New Roman" w:cs="Times New Roman" w:eastAsia="Times New Roman" w:hAnsi="Times New Roman"/>
          <w:sz w:val="18"/>
          <w:szCs w:val="18"/>
          <w:i w:val="1"/>
          <w:iCs w:val="1"/>
          <w:color w:val="auto"/>
        </w:rPr>
        <w:t>Executive Vice President and Chief</w:t>
      </w:r>
    </w:p>
    <w:p>
      <w:pPr>
        <w:ind w:left="7520"/>
        <w:spacing w:after="0" w:line="203" w:lineRule="auto"/>
        <w:rPr>
          <w:sz w:val="20"/>
          <w:szCs w:val="20"/>
          <w:color w:val="auto"/>
        </w:rPr>
      </w:pPr>
      <w:r>
        <w:rPr>
          <w:rFonts w:ascii="Times New Roman" w:cs="Times New Roman" w:eastAsia="Times New Roman" w:hAnsi="Times New Roman"/>
          <w:sz w:val="18"/>
          <w:szCs w:val="18"/>
          <w:i w:val="1"/>
          <w:iCs w:val="1"/>
          <w:color w:val="auto"/>
        </w:rPr>
        <w:t>Financial Officer</w:t>
      </w:r>
    </w:p>
    <w:p>
      <w:pPr>
        <w:ind w:left="7520"/>
        <w:spacing w:after="0" w:line="204" w:lineRule="auto"/>
        <w:rPr>
          <w:sz w:val="20"/>
          <w:szCs w:val="20"/>
          <w:color w:val="auto"/>
        </w:rPr>
      </w:pPr>
      <w:r>
        <w:rPr>
          <w:rFonts w:ascii="Times New Roman" w:cs="Times New Roman" w:eastAsia="Times New Roman" w:hAnsi="Times New Roman"/>
          <w:sz w:val="18"/>
          <w:szCs w:val="18"/>
          <w:i w:val="1"/>
          <w:iCs w:val="1"/>
          <w:color w:val="auto"/>
        </w:rPr>
        <w:t>(Principal Financial Officer and</w:t>
      </w:r>
    </w:p>
    <w:p>
      <w:pPr>
        <w:ind w:left="75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ectPr>
          <w:pgSz w:w="11900" w:h="16838" w:orient="portrait"/>
          <w:cols w:equalWidth="0" w:num="1">
            <w:col w:w="11240"/>
          </w:cols>
          <w:pgMar w:left="320" w:top="88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Clearway Energy, Inc. on Form 10-Q for the quarter ended June 30, 2025,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4"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10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0861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Craig Cornelius</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0861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Sarah Rubenstein</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10-Q or as a separate disclosure document.</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lowerLetter"/>
      <w:start w:val="1"/>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lowerLetter"/>
      <w:start w:val="1"/>
    </w:lvl>
  </w:abstractNum>
  <w:abstractNum w:abstractNumId="7">
    <w:nsid w:val="54E49EB4"/>
    <w:multiLevelType w:val="hybridMultilevel"/>
    <w:lvl w:ilvl="0">
      <w:lvlJc w:val="left"/>
      <w:lvlText w:val="(%1)"/>
      <w:numFmt w:val="lowerLetter"/>
      <w:start w:val="1"/>
    </w:lvl>
  </w:abstractNum>
  <w:abstractNum w:abstractNumId="8">
    <w:nsid w:val="71F32454"/>
    <w:multiLevelType w:val="hybridMultilevel"/>
    <w:lvl w:ilvl="0">
      <w:lvlJc w:val="left"/>
      <w:lvlText w:val="(%1)"/>
      <w:numFmt w:val="lowerLetter"/>
      <w:start w:val="1"/>
    </w:lvl>
  </w:abstractNum>
  <w:abstractNum w:abstractNumId="9">
    <w:nsid w:val="2CA88611"/>
    <w:multiLevelType w:val="hybridMultilevel"/>
    <w:lvl w:ilvl="0">
      <w:lvlJc w:val="left"/>
      <w:lvlText w:val="(%1)"/>
      <w:numFmt w:val="lowerLetter"/>
      <w:start w:val="1"/>
    </w:lvl>
  </w:abstractNum>
  <w:abstractNum w:abstractNumId="10">
    <w:nsid w:val="836C40E"/>
    <w:multiLevelType w:val="hybridMultilevel"/>
    <w:lvl w:ilvl="0">
      <w:lvlJc w:val="left"/>
      <w:lvlText w:val="(%1)"/>
      <w:numFmt w:val="lowerLetter"/>
      <w:start w:val="1"/>
    </w:lvl>
  </w:abstractNum>
  <w:abstractNum w:abstractNumId="11">
    <w:nsid w:val="2901D82"/>
    <w:multiLevelType w:val="hybridMultilevel"/>
    <w:lvl w:ilvl="0">
      <w:lvlJc w:val="left"/>
      <w:lvlText w:val="(%1)"/>
      <w:numFmt w:val="lowerLetter"/>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1)"/>
      <w:numFmt w:val="lowerLetter"/>
      <w:start w:val="1"/>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lowerLetter"/>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lowerLetter"/>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2025-08-06T05:17:45Z</dcterms:created>
  <dcterms:modified xsi:type="dcterms:W3CDTF">2025-08-06T05:17:45Z</dcterms:modified>
</cp:coreProperties>
</file>