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222d1_8k.htm"/>
      <w:bookmarkStart w:id="1" w:name="kstm262222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F_edei--DocumentType_c2026080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Clearway Energy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545" w:type="dxa"/>
        <w:jc w:val="left"/>
        <w:tblInd w:w="0" w:type="dxa"/>
        <w:tblLayout w:type="fixed"/>
        <w:tblCellMar>
          <w:top w:w="0" w:type="dxa"/>
          <w:left w:w="0" w:type="dxa"/>
          <w:bottom w:w="0" w:type="dxa"/>
          <w:right w:w="0" w:type="dxa"/>
        </w:tblCellMar>
      </w:tblPr>
      <w:tblGrid>
        <w:gridCol w:w="2420"/>
        <w:gridCol w:w="60"/>
        <w:gridCol w:w="2210"/>
        <w:gridCol w:w="60"/>
        <w:gridCol w:w="2795"/>
      </w:tblGrid>
      <w:tr>
        <w:trPr/>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806"/>
            <w:bookmarkEnd w:id="6"/>
            <w:r>
              <w:rPr>
                <w:rFonts w:ascii="Times New Roman;Times;Serif" w:hAnsi="Times New Roman;Times;Serif"/>
                <w:b/>
                <w:i w:val="false"/>
                <w:caps w:val="false"/>
                <w:smallCaps w:val="false"/>
                <w:sz w:val="20"/>
              </w:rPr>
              <w:t>333-203369</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32-0407370</w:t>
            </w:r>
          </w:p>
        </w:tc>
      </w:tr>
      <w:tr>
        <w:trPr/>
        <w:tc>
          <w:tcPr>
            <w:tcW w:w="24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w:t>
            </w: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300 Carnegie Center, </w:t>
      </w:r>
      <w:bookmarkStart w:id="9" w:name="xdx_90F_edei--EntityAddressAddressLine2_"/>
      <w:bookmarkEnd w:id="9"/>
      <w:r>
        <w:rPr>
          <w:rFonts w:ascii="Times New Roman;Times;Serif" w:hAnsi="Times New Roman;Times;Serif"/>
          <w:b/>
          <w:i w:val="false"/>
          <w:caps w:val="false"/>
          <w:smallCaps w:val="false"/>
          <w:sz w:val="20"/>
        </w:rPr>
        <w:t xml:space="preserve">Suite 300, </w:t>
      </w:r>
      <w:bookmarkStart w:id="10" w:name="xdx_909_edei--EntityAddressCityOrTown_c2"/>
      <w:bookmarkEnd w:id="10"/>
      <w:r>
        <w:rPr>
          <w:rFonts w:ascii="Times New Roman;Times;Serif" w:hAnsi="Times New Roman;Times;Serif"/>
          <w:b/>
          <w:i w:val="false"/>
          <w:caps w:val="false"/>
          <w:smallCaps w:val="false"/>
          <w:sz w:val="20"/>
        </w:rPr>
        <w:t xml:space="preserve">Princeton, </w:t>
      </w:r>
      <w:bookmarkStart w:id="11" w:name="xdx_90E_edei--EntityAddressStateOrProvin"/>
      <w:bookmarkEnd w:id="11"/>
      <w:r>
        <w:rPr>
          <w:rFonts w:ascii="Times New Roman;Times;Serif" w:hAnsi="Times New Roman;Times;Serif"/>
          <w:b/>
          <w:i w:val="false"/>
          <w:caps w:val="false"/>
          <w:smallCaps w:val="false"/>
          <w:sz w:val="20"/>
        </w:rPr>
        <w:t xml:space="preserve">New Jersey </w:t>
      </w:r>
      <w:bookmarkStart w:id="12" w:name="xdx_90C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0_edei--CityAreaCode_c20260806__20"/>
      <w:bookmarkEnd w:id="13"/>
      <w:r>
        <w:rPr>
          <w:rFonts w:ascii="Times New Roman;Times;Serif" w:hAnsi="Times New Roman;Times;Serif"/>
          <w:b/>
          <w:i w:val="false"/>
          <w:caps w:val="false"/>
          <w:smallCaps w:val="false"/>
          <w:sz w:val="20"/>
        </w:rPr>
        <w:t xml:space="preserve">609) </w:t>
      </w:r>
      <w:bookmarkStart w:id="14" w:name="xdx_903_edei--LocalPhoneNumber_c20260806"/>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A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F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0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Clearway Energy LLC (the “Company”) and Clearway Energy, Inc., the parent company of the Company (“Clearway Inc.”), entered into an Equity Distribution Agreement (the “Agreement”) with Wells Fargo Securities, LLC, Morgan Stanley &amp; Co. LLC, BofA Securities, Inc., Citigroup Global Markets Inc. and J.P. Morgan Securities LLC (collectively, the “Agents”). Pursuant to the terms of the Agreement, Clearway Inc. may offer and sell shares of Clearway Inc.’s Class C common stock, par value $0.01 per share (the “Shares”), from time to time through the Agents, as Clearway Inc.’s sales agents for the offer and sale of the Shares, up to an aggregate sales price of $100,000,000 (the “ATM Program”). Sales of the Shares, if any, will be made by means of ordinary brokers’ transactions on the New York Stock Exchange, to or through a market maker or directly on or through an electronic communications network at market prices or as otherwise permitted by law. Clearway Inc. intends to use the net proceeds from the sale of the Shares for general corporate purposes, which may include the repayment or refinancing of indebtedness and the funding of working capital, capital expenditures, acquisitions and investments. Clearway Inc. may invest funds not required immediately for such purposes in marketable securities and short-term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be issued pursuant to a prospectus supplement, dated August 6, 2026, to Clearway Inc.’s shelf registration statement (the “Registration Statement”) on Form S-3 (File No. 333-298054), which became effective upon filing with the Securities and Exchange Commission on August 6, 2026. This Current Report on Form 8-K (this “Current Report”) shall not constitute an offer to sell or a solicitation of an offer to buy any security, including the Shares, nor will there be any sales of these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 xml:space="preserve">The foregoing description of the Agreement does not purport to be complete and is qualified in its entirety by reference to the full text of the Agreement, a copy of which is filed as Exhibit 1.1 to this Current Report and is incorporated herein by reference.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contains forward-looking statements within the meaning of Section 27A of the Securities Act of 1933, as amended, and Section 21E of the Securities Exchange Act of 1934, as amended.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anticipated consummation of the transactions described above, the anticipated benefits, opportunities and results with respect to such transactions and Clearway Inc.’s anticipated use of proceeds from the sale of Shares under the 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the capital markets generally, whether Clearway Inc. will offer or sell Shares under the ATM Program and the anticipated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Current Report should be considered in connection with information regarding risks and uncertainties that may affect the Company’s future results included in the Company’s other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915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622222d1_ex1-1.htm">
              <w:r>
                <w:rPr>
                  <w:rStyle w:val="InternetLink"/>
                  <w:rFonts w:ascii="Times New Roman;Times;Serif" w:hAnsi="Times New Roman;Times;Serif"/>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2222d1_ex1-1.htm">
              <w:r>
                <w:rPr>
                  <w:rStyle w:val="InternetLink"/>
                  <w:rFonts w:ascii="Times New Roman;Times;Serif" w:hAnsi="Times New Roman;Times;Serif"/>
                  <w:sz w:val="20"/>
                </w:rPr>
                <w:t>Equity Distribution Agreement, dated as of August 6, 2026, by and among Clearway Energy, Inc., Clearway Energy LLC, Wells Fargo Securities, LLC, Morgan Stanley &amp; Co. LLC, BofA Securities, Inc., Citigroup Global Markets Inc. and J.P. Morgan Securities LLC.</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Cover Page Interactive Data File - the cover page XBRL tags are embedded within the Inline XBRL document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320"/>
        <w:gridCol w:w="6155"/>
      </w:tblGrid>
      <w:tr>
        <w:trPr/>
        <w:tc>
          <w:tcPr>
            <w:tcW w:w="75" w:type="dxa"/>
            <w:tcBorders/>
            <w:vAlign w:val="center"/>
          </w:tcPr>
          <w:p>
            <w:pPr>
              <w:pStyle w:val="TableContents"/>
              <w:bidi w:val="0"/>
              <w:spacing w:before="0" w:after="283"/>
              <w:jc w:val="left"/>
              <w:rPr/>
            </w:pPr>
            <w:r>
              <w:rPr/>
              <w:t> </w:t>
            </w:r>
          </w:p>
        </w:tc>
        <w:tc>
          <w:tcPr>
            <w:tcW w:w="64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Clearway Energy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55" w:type="dxa"/>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 xml:space="preserve">/s/ </w:t>
            </w:r>
            <w:r>
              <w:rPr>
                <w:sz w:val="20"/>
              </w:rPr>
              <w:t>Michael A. Brown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A. Brown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Senior Vice President,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August </w:t>
      </w:r>
      <w:r>
        <w:rPr>
          <w:rFonts w:ascii="Times New Roman;Times;Serif" w:hAnsi="Times New Roman;Times;Serif"/>
          <w:b w:val="false"/>
          <w:i w:val="false"/>
          <w:caps w:val="false"/>
          <w:smallCaps w:val="false"/>
          <w:color w:val="212529"/>
          <w:sz w:val="20"/>
        </w:rPr>
        <w:t>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0" w:name="tm2622222d1_ex1-1.htm"/>
      <w:bookmarkStart w:id="21" w:name="kstm2622222d1_ex11"/>
      <w:bookmarkEnd w:id="20"/>
      <w:bookmarkEnd w:id="21"/>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Clearway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C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 value $0.01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Having an Aggregate Gross Sales Price of up to $100,000,000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Distribution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33rd Street, 14th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b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Clearway Energy LLC, a Delaware limited liability company (“</w:t>
      </w:r>
      <w:r>
        <w:rPr>
          <w:rFonts w:ascii="Times New Roman;Times;Serif" w:hAnsi="Times New Roman;Times;Serif"/>
          <w:b w:val="false"/>
          <w:i w:val="false"/>
          <w:caps w:val="false"/>
          <w:smallCaps w:val="false"/>
          <w:sz w:val="20"/>
          <w:u w:val="single"/>
        </w:rPr>
        <w:t>Clearway LLC</w:t>
      </w:r>
      <w:r>
        <w:rPr>
          <w:rFonts w:ascii="Times New Roman;Times;Serif" w:hAnsi="Times New Roman;Times;Serif"/>
          <w:b w:val="false"/>
          <w:i w:val="false"/>
          <w:caps w:val="false"/>
          <w:smallCaps w:val="false"/>
          <w:sz w:val="20"/>
        </w:rPr>
        <w:t>” and, together with the Company, the “</w:t>
      </w:r>
      <w:r>
        <w:rPr>
          <w:rFonts w:ascii="Times New Roman;Times;Serif" w:hAnsi="Times New Roman;Times;Serif"/>
          <w:b w:val="false"/>
          <w:i w:val="false"/>
          <w:caps w:val="false"/>
          <w:smallCaps w:val="false"/>
          <w:sz w:val="20"/>
          <w:u w:val="single"/>
        </w:rPr>
        <w:t>Company Parties</w:t>
      </w:r>
      <w:r>
        <w:rPr>
          <w:rFonts w:ascii="Times New Roman;Times;Serif" w:hAnsi="Times New Roman;Times;Serif"/>
          <w:b w:val="false"/>
          <w:i w:val="false"/>
          <w:caps w:val="false"/>
          <w:smallCaps w:val="false"/>
          <w:sz w:val="20"/>
        </w:rPr>
        <w:t>”), confirm their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with Wells Fargo Securities, LLC, Morgan Stanley &amp; Co. LLC, BofA Securities, Inc., Citigroup Global Markets Inc. and J.P. Morgan Securities LLC (each a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Managers</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              </w:t>
      </w:r>
      <w:r>
        <w:rPr>
          <w:rFonts w:ascii="Times New Roman;Times;Serif" w:hAnsi="Times New Roman;Times;Serif"/>
          <w:b w:val="false"/>
          <w:i w:val="false"/>
          <w:caps w:val="false"/>
          <w:smallCaps w:val="false"/>
          <w:sz w:val="20"/>
          <w:u w:val="single"/>
        </w:rPr>
        <w:t>Description of Shares</w:t>
      </w:r>
      <w:r>
        <w:rPr>
          <w:rFonts w:ascii="Times New Roman;Times;Serif" w:hAnsi="Times New Roman;Times;Serif"/>
          <w:b w:val="false"/>
          <w:i w:val="false"/>
          <w:caps w:val="false"/>
          <w:smallCaps w:val="false"/>
          <w:sz w:val="20"/>
        </w:rPr>
        <w:t>. The Company proposes to issue and sell through or to the Managers, as sales agents, shares of Class C Common Stock, par value $0.01 per share, of the Company (“</w:t>
      </w:r>
      <w:r>
        <w:rPr>
          <w:rFonts w:ascii="Times New Roman;Times;Serif" w:hAnsi="Times New Roman;Times;Serif"/>
          <w:b w:val="false"/>
          <w:i w:val="false"/>
          <w:caps w:val="false"/>
          <w:smallCaps w:val="false"/>
          <w:sz w:val="20"/>
          <w:u w:val="single"/>
        </w:rPr>
        <w:t>Class C Common Stock</w:t>
      </w:r>
      <w:r>
        <w:rPr>
          <w:rFonts w:ascii="Times New Roman;Times;Serif" w:hAnsi="Times New Roman;Times;Serif"/>
          <w:b w:val="false"/>
          <w:i w:val="false"/>
          <w:caps w:val="false"/>
          <w:smallCaps w:val="false"/>
          <w:sz w:val="20"/>
        </w:rPr>
        <w:t>”), having an aggregate gross sales price to the public of up to $100,000,000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from time to time during the term of this Agreement and on the terms set forth in Section 3 of this Agreement. For purposes of selling the Shares through the Managers, the Company hereby appoints the Managers as exclusive agents of the Company with respect to the issuance and sale of the Shares from time to time from the Company pursuant to this Agreement, and the Managers agree to use their commercially reasonable efforts to sell the Shares in the manner and subject to the terms and conditions described in this Agreement. Certain terms used herein are defined in Section 22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Parties, jointly and severally, represent and warrant to each Manager at the Execution Time and at each such time the following representations and warranties are repeated or deemed to be made pursuant to this Agreement, including each Applicable Time, each Representation Date (as defined below) and each Settlement Date (as defined below),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Registration Statement.</w:t>
      </w:r>
      <w:r>
        <w:rPr>
          <w:rFonts w:ascii="Times New Roman;Times;Serif" w:hAnsi="Times New Roman;Times;Serif"/>
          <w:b w:val="false"/>
          <w:i w:val="false"/>
          <w:caps w:val="false"/>
          <w:smallCaps w:val="false"/>
          <w:sz w:val="20"/>
        </w:rPr>
        <w:t xml:space="preserve"> The Company meets the requirements for use of Form S-3 under the Act and has prepared and filed with the Commission a registration statement on Form S-3 (File Number: 333-298054), including a related Base Prospectus, for registration under the Act of the offering and sale of the securities, including the Shares, and such Registration Statement, including any amendments thereto filed prior to the Execution Time or prior to any such time this representation is repeated or deemed to be made, has become effective. The Company has filed with the Commission the Prospectus Supplement relating to the Shares in accordance with Rule 424(b). As filed, the Prospectus contains all information required by the Act and the rules thereunder, and, except to the extent the Managers agree in writing to a modification, shall be in all substantive respects in the form furnished to the Managers prior to the Execution Time or prior to any such time this representation is repeated or deemed to be made. The Registration Statement, at the Execution Time, at each such time this representation is repeated or deemed to be made, and at all times during which a prospectus is required by the Act to be delivered (whether physically, deemed to be delivered pursuant to Rule 153 or through compliance with Rule 172 or any similar rule) in connection with any offer or sale of the Shares, meets the requirements set forth in Rule 415(a)(1)(x). The initial Effective Date of the Registration Statement was not earlier than the date three years before the Execution Time. Any reference herein to the Registration Statement, the Base Prospectus, the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or the Prospectus, as the case may be; and any reference herein to the terms “amend,” “amendment” or “supplement” with respect to the Registration Statement, the Base Prospectus, the Prospectus Supplement or the Prospectus shall be deemed to refer to and include the filing of any document under the Exchange Act after the Effective Date of the Registration Statement or the issue date of the Base Prospectus, the Prospectus Supplement or the Prospectus, as the case may be, deemed to be incorporated therein by reference. If the Company files a successor registration statement with respect to the Shares, after effectiveness of any such registration statement, (i) all references to “Registration Statement” included in this Agreement shall be deemed to include such new registration statement, including all documents incorporated by reference therein pursuant to Item 12 of Form S-3, (ii) all references to “Base Prospectus” included in this Agreement shall be deemed to include the final form of prospectus, including all documents incorporated by reference therein pursuant to Item 12 of Form S-3, included in any such registration statement at the time such registration statement became effective and (iii) all references to “Prospectus Supplement” included in this Agreement shall be deemed to include any prospectus supplement, including all documents incorporated by reference therein pursuant to Item 12 of Form S-3, relating to the final form of prospectus included in any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 Stop Order.</w:t>
      </w:r>
      <w:r>
        <w:rPr>
          <w:rFonts w:ascii="Times New Roman;Times;Serif" w:hAnsi="Times New Roman;Times;Serif"/>
          <w:b w:val="false"/>
          <w:i w:val="false"/>
          <w:caps w:val="false"/>
          <w:smallCaps w:val="false"/>
          <w:sz w:val="20"/>
        </w:rPr>
        <w:t xml:space="preserve"> The Commission has not issued any order preventing or suspending the use of the Prospectus or suspending the effectiveness of the Registration Statement, and no proceeding or examination for such purpose or pursuant to Section 8A of the Act has been instituted or, to the knowledge of any of the Company Parties,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Ineligible Issuer.</w:t>
      </w:r>
      <w:r>
        <w:rPr>
          <w:rFonts w:ascii="Times New Roman;Times;Serif" w:hAnsi="Times New Roman;Times;Serif"/>
          <w:b w:val="false"/>
          <w:i w:val="false"/>
          <w:caps w:val="false"/>
          <w:smallCaps w:val="false"/>
          <w:sz w:val="20"/>
        </w:rPr>
        <w:t xml:space="preserve"> At the time of filing the Registration Statement, at the earliest time thereafter that the Company or another offering participant made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 (within the meaning of Rule 164(h)(2) of the Act) of the Shares and at the date hereof, the Company was not and is not an “ineligible issuer,” as defined in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 xml:space="preserve">No Material Misstatements or Omissions in the Registration Statement. </w:t>
      </w:r>
      <w:r>
        <w:rPr>
          <w:rFonts w:ascii="Times New Roman;Times;Serif" w:hAnsi="Times New Roman;Times;Serif"/>
          <w:b w:val="false"/>
          <w:i w:val="false"/>
          <w:caps w:val="false"/>
          <w:smallCaps w:val="false"/>
          <w:sz w:val="20"/>
        </w:rPr>
        <w:t xml:space="preserve">On each Effective Date, at the Execution 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Shares, the Registration Statement complied and will comply in all material respects with the applicable requirements of the Act and the Exchange Act and the respective rules thereunder and did not and will not contain an untrue statement of a material fact or omit to state a material fact required to be stated therein or necessary in order to make the statements therein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representation or warranty is made as to information contained in or omitted from the Registration Statement in reliance upon and in conformity with written information furnished to the Company by or on behalf of the Managers specifically for inclusion therein, which information is specified in Section 7(b).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 Material Misstatements or Omissions in the Prospectus.</w:t>
      </w:r>
      <w:r>
        <w:rPr>
          <w:rFonts w:ascii="Times New Roman;Times;Serif" w:hAnsi="Times New Roman;Times;Serif"/>
          <w:b w:val="false"/>
          <w:i w:val="false"/>
          <w:caps w:val="false"/>
          <w:smallCaps w:val="false"/>
          <w:sz w:val="20"/>
        </w:rPr>
        <w:t xml:space="preserve"> On the date of any filing pursuant to Rule 424(b), at the Execution 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Shares, the Prospectus complied and will comply in all material respects with the applicable requirements of the Act and the Exchange Act and the respective rules thereunder and did not and will not include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representation or warranty is made as to information included in or omitted from the Prospectus in reliance upon and in conformity with written information furnished to the Company by or on behalf of the Managers specifically for inclusion therein, which information is specified in Section 7(b).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No Other Prospectus.</w:t>
      </w:r>
      <w:r>
        <w:rPr>
          <w:rFonts w:ascii="Times New Roman;Times;Serif" w:hAnsi="Times New Roman;Times;Serif"/>
          <w:b w:val="false"/>
          <w:i w:val="false"/>
          <w:caps w:val="false"/>
          <w:smallCaps w:val="false"/>
          <w:sz w:val="20"/>
        </w:rPr>
        <w:t xml:space="preserve"> Prior to the Execution Time, the Company has not, directly or indirectly, offered or sold any Shares by means of any “prospectus” (in each case within the meaning of the Act) or used any “prospectus” (in each case within the meaning of the Act) in connection with the offer or sale of Shares, and from and after the Execution Time, the Company will not, directly or indirectly, offer or sell any Shares pursuant to this Agreement by means of any “prospectus” (within the meaning of the Act) or use any “prospectus” (within the meaning of the Act) in connection with any such offer or sale of the Shares, other than the Prospectus, as amended or supplemented from time to time in accordance with the provisions of this Agreement; the Company has not, directly or indirectly, prepared, used or referred to any Issuer Free Writing Prospectus, as defined in Rule 433, in connection with offers or sales of Shares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Regulation M Exceptions</w:t>
      </w:r>
      <w:r>
        <w:rPr>
          <w:rFonts w:ascii="Times New Roman;Times;Serif" w:hAnsi="Times New Roman;Times;Serif"/>
          <w:b w:val="false"/>
          <w:i w:val="false"/>
          <w:caps w:val="false"/>
          <w:smallCaps w:val="false"/>
          <w:sz w:val="20"/>
        </w:rPr>
        <w:t>. The Class C Common Stock is an “actively-traded security” as defined in Rule 101 of Regulation M under the Exchange Act by subsection (c)(1) of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Other Sales Agency Agreements</w:t>
      </w:r>
      <w:r>
        <w:rPr>
          <w:rFonts w:ascii="Times New Roman;Times;Serif" w:hAnsi="Times New Roman;Times;Serif"/>
          <w:b w:val="false"/>
          <w:i w:val="false"/>
          <w:caps w:val="false"/>
          <w:smallCaps w:val="false"/>
          <w:sz w:val="20"/>
        </w:rPr>
        <w:t>. The Company is not a party to any other effective sales agency agreements or other similar arrangements, with any agent or any other representative in respect of at-the-market offerings of Class C Common Stock in accordance with Rule 415(a)(4)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Good Standing of the Company</w:t>
      </w:r>
      <w:r>
        <w:rPr>
          <w:rFonts w:ascii="Times New Roman;Times;Serif" w:hAnsi="Times New Roman;Times;Serif"/>
          <w:b w:val="false"/>
          <w:i w:val="false"/>
          <w:caps w:val="false"/>
          <w:smallCaps w:val="false"/>
          <w:sz w:val="20"/>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and the Prospectus and to enter into and perform its obligations under this Agreement; and the Company is duly qualified as a foreign corporation to transact business and is in good standing or equivalent status in each other jurisdiction in which such qualification is required, whether by reason of the ownership or leasing of property or the conduct of business, except where the failure so to qualify or to be in good standing would not, individually or in the aggregate, reasonably be expected to have a Material Adverse Effect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Good Standing of Subsidiaries</w:t>
      </w:r>
      <w:r>
        <w:rPr>
          <w:rFonts w:ascii="Times New Roman;Times;Serif" w:hAnsi="Times New Roman;Times;Serif"/>
          <w:b w:val="false"/>
          <w:i w:val="false"/>
          <w:caps w:val="false"/>
          <w:smallCaps w:val="false"/>
          <w:sz w:val="20"/>
        </w:rPr>
        <w:t>. Each “significant subsidiary” (as such term is defined in Rule 1-02 of Regulation S-X) of the Company, including Clearway LLC,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and the Prospectus and is duly qualified to transact business and is in good standing or equivalent status in each jurisdiction in which such qualification is required, whether by reason of the ownership or leasing of property or the conduct of business, except where the failure to so qualify or to be in good standing would not, individually or in the aggregate, reasonably be expected to have a Material Adverse Effect (as defined below). Except as otherwise disclosed in the Registration Statement and the Prospectus or as would not, individually or in the aggregate, reasonably be expected to have a Material Adverse Effect, all of the issued and outstanding capital stock or other ownership interests of each subsidiary (except to the extent held by Clearway Energy Group LLC (“</w:t>
      </w:r>
      <w:r>
        <w:rPr>
          <w:rFonts w:ascii="Times New Roman;Times;Serif" w:hAnsi="Times New Roman;Times;Serif"/>
          <w:b w:val="false"/>
          <w:i w:val="false"/>
          <w:caps w:val="false"/>
          <w:smallCaps w:val="false"/>
          <w:sz w:val="20"/>
          <w:u w:val="single"/>
        </w:rPr>
        <w:t>CEG</w:t>
      </w:r>
      <w:r>
        <w:rPr>
          <w:rFonts w:ascii="Times New Roman;Times;Serif" w:hAnsi="Times New Roman;Times;Serif"/>
          <w:b w:val="false"/>
          <w:i w:val="false"/>
          <w:caps w:val="false"/>
          <w:smallCaps w:val="false"/>
          <w:sz w:val="20"/>
        </w:rPr>
        <w:t>”)) has been duly authorized and validly issued, is fully paid and non-assessable and is owned by the Company, directly or through subsidiaries, free and clear of any security interest, mortgage, pledge, lien, encumbrance or claim. The only subsidiaries of the Company are the subsidiaries listed on Exhibit 21.1 to the Company’s Annual Report on Form 10-K for the year ended December 31, 2025 filed with the Commission on February 24, 2026 (the “</w:t>
      </w:r>
      <w:r>
        <w:rPr>
          <w:rFonts w:ascii="Times New Roman;Times;Serif" w:hAnsi="Times New Roman;Times;Serif"/>
          <w:b w:val="false"/>
          <w:i w:val="false"/>
          <w:caps w:val="false"/>
          <w:smallCaps w:val="false"/>
          <w:sz w:val="20"/>
          <w:u w:val="single"/>
        </w:rPr>
        <w:t>2025 Annual Report</w:t>
      </w:r>
      <w:r>
        <w:rPr>
          <w:rFonts w:ascii="Times New Roman;Times;Serif" w:hAnsi="Times New Roman;Times;Serif"/>
          <w:b w:val="false"/>
          <w:i w:val="false"/>
          <w:caps w:val="false"/>
          <w:smallCaps w:val="false"/>
          <w:sz w:val="20"/>
        </w:rPr>
        <w:t>”), and those subsidiaries that, collectively, do not constitute a “significant subsidiary” (as such term is defined in Rule 1-02 of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Well-Known Seasoned Issuer</w:t>
      </w:r>
      <w:r>
        <w:rPr>
          <w:rFonts w:ascii="Times New Roman;Times;Serif" w:hAnsi="Times New Roman;Times;Serif"/>
          <w:b w:val="false"/>
          <w:i w:val="false"/>
          <w:caps w:val="false"/>
          <w:smallCaps w:val="false"/>
          <w:sz w:val="20"/>
        </w:rPr>
        <w:t>. (i) At the original effectiveness of the Registration Statement, (ii) if applicable, at the time of the most recent amendment thereto for the purposes of complying with Section 10(a)(3) of the Act (whether such amendment was by post-effective amendment, incorporated report filed pursuant to Section 13 or 15(d) of the Exchange Act or form of prospectus), (iii) at the time the Company or any person acting on its behalf (within the meaning, for this clause only, of Rule 163(c) under the Act) made any offer relating to the Shares in reliance on the exemption of Rule 163 under the Act, and (iv) as of each Applicable Time, the Company was and is a “well-known seasoned issuer” (as defined in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The authorized, issued and outstanding shares of capital stock of the Company as of the Company’s most recently completed fiscal quarter or year are as set forth in the Company’s Quarterly Report on Form 10-Q or Annual Report on Form 10-K for the most recently completed fiscal quarter or year, as applicable (except for subsequent issuances, if any, pursuant to this Agreement, pursuant to reservations, agreements or employee benefit plans referred to in the Registration Statement and the Prospectus or pursuant to the exercise of convertible securities or options referred to in the Registration Statement and the Prospectus). All outstanding shares of capital stock of the Company have been duly authorized and validly issued and are fully paid and non-assessable. None of the outstanding shares of capital stock of, or ownership interests in, the Company or any subsidiary (except to the extent held by CEG) were issued in violation of the preemptive or other similar rights of any securityholder of the Company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Authorization and Description of Shares</w:t>
      </w:r>
      <w:r>
        <w:rPr>
          <w:rFonts w:ascii="Times New Roman;Times;Serif" w:hAnsi="Times New Roman;Times;Serif"/>
          <w:b w:val="false"/>
          <w:i w:val="false"/>
          <w:caps w:val="false"/>
          <w:smallCaps w:val="false"/>
          <w:sz w:val="20"/>
        </w:rPr>
        <w:t>. The Shares to be purchased by the Managers from the Company have been duly authorized for issuance and sale to the Managers pursuant to this Agreement and, when issued and delivered by the Company pursuant to this Agreement against payment of the consideration set forth herein, will be validly issued and fully paid and non-assessable; and the issuance of the Shares is not subject to the preemptive or other similar rights of any securityholder of the Company. The Class C Common Stock and Clearway LLC’s Class B units, Class C units and Class D units conform to all statements relating thereto contained in the Registration Statement and the Prospectus and such description conforms to the rights set forth in the instruments defining the same. No holder of Shares will be subject to personal liability by reason of being such a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Accuracy of Descriptions</w:t>
      </w:r>
      <w:r>
        <w:rPr>
          <w:rFonts w:ascii="Times New Roman;Times;Serif" w:hAnsi="Times New Roman;Times;Serif"/>
          <w:b w:val="false"/>
          <w:i w:val="false"/>
          <w:caps w:val="false"/>
          <w:smallCaps w:val="false"/>
          <w:sz w:val="20"/>
        </w:rPr>
        <w:t>. The statements under the heading “Business—Regulatory Matters” in the 2025 Annual Report and under the heading “Certain Relationships and Related Person Transactions” in the Company’s Definitive Proxy Statement on Schedule 14A filed with the Commission on March 24, 2026, insofar as such statements summarize legal matters, agreements, documents, proceedings or affiliate transactions discussed therein, including related party agreements, power purchase agreements, offtake agreements and contracts for differences, are accurate and fair summaries of such legal matters, agreements, documents, proceedings or affiliate transactions in all material respects. All agreements between the Company or any of its subsidiaries and any other party expressly referenced in the Registration Statement and the Prospectus, including the documents incorporated by reference therein pursuant to Item 12 of Form S-3 under the Act, are legal, valid and binding obligations of the Company or such subsidiary, as applicable, enforceable against the Company or such subsidiaries, as applicable, as appropriate, in accordance with their respective terms, except to the extent that enforceability may be limited by bankruptcy, insolvency, reorganization, moratorium or similar laws affecting creditors’ rights generally and by general equitable principles and except as rights to indemnity and contribution thereunder may be limited by applicable law or policies underlying such law. Except as described in the Registration Statement and the Prospectus, neither the Company nor, to the knowledge of the Company, CEG has sent or received any notice indicating the termination of or intention to terminate any of the contracts or agreements referred to or described in the Registration Statement and the Prospectus or filed as an exhibit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Registration Rights</w:t>
      </w:r>
      <w:r>
        <w:rPr>
          <w:rFonts w:ascii="Times New Roman;Times;Serif" w:hAnsi="Times New Roman;Times;Serif"/>
          <w:b w:val="false"/>
          <w:i w:val="false"/>
          <w:caps w:val="false"/>
          <w:smallCaps w:val="false"/>
          <w:sz w:val="20"/>
        </w:rPr>
        <w:t>. There are no persons with registration rights or other similar rights to have any securities registered for sale pursuant to the Registration Statement or otherwise registered for sale or sold by the Company under the Act pursuant to this Agreement, other than those rights that have been disclosed in the Registration Statement and the Prospectus and have been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Authorization, Execution and Delivery of the Equity Distribution Agreement.</w:t>
      </w:r>
      <w:r>
        <w:rPr>
          <w:rFonts w:ascii="Times New Roman;Times;Serif" w:hAnsi="Times New Roman;Times;Serif"/>
          <w:b w:val="false"/>
          <w:i w:val="false"/>
          <w:caps w:val="false"/>
          <w:smallCaps w:val="false"/>
          <w:sz w:val="20"/>
        </w:rPr>
        <w:t xml:space="preserve"> This Agreement has been duly authorized, executed and delivered by the Company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Absence of Violations, Defaults and Conflicts</w:t>
      </w:r>
      <w:r>
        <w:rPr>
          <w:rFonts w:ascii="Times New Roman;Times;Serif" w:hAnsi="Times New Roman;Times;Serif"/>
          <w:b w:val="false"/>
          <w:i w:val="false"/>
          <w:caps w:val="false"/>
          <w:smallCaps w:val="false"/>
          <w:sz w:val="20"/>
        </w:rPr>
        <w:t>. Neither the Company nor any of its subsidiaries is (i) in violation of its charter, by-laws or similar organizational document, (ii)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w:t>
      </w:r>
      <w:r>
        <w:rPr>
          <w:rFonts w:ascii="Times New Roman;Times;Serif" w:hAnsi="Times New Roman;Times;Serif"/>
          <w:b w:val="false"/>
          <w:i w:val="false"/>
          <w:caps w:val="false"/>
          <w:smallCaps w:val="false"/>
          <w:sz w:val="20"/>
          <w:u w:val="single"/>
        </w:rPr>
        <w:t>Agreements and Instruments</w:t>
      </w:r>
      <w:r>
        <w:rPr>
          <w:rFonts w:ascii="Times New Roman;Times;Serif" w:hAnsi="Times New Roman;Times;Serif"/>
          <w:b w:val="false"/>
          <w:i w:val="false"/>
          <w:caps w:val="false"/>
          <w:smallCaps w:val="false"/>
          <w:sz w:val="20"/>
        </w:rPr>
        <w:t>”), except for such defaults that would not, individually or in the aggregate, reasonably be expected to have a Material Adverse Effect, or (iii)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except for such violations that would not, individually or in the aggregate, reasonably be expected to have a Material Adverse Effect. The execution, delivery and performance of this Agreement and the consummation of the transactions contemplated herein and in the Registration Statement and the Prospectus, (including the issuance and sale of the Shares and the use of the proceeds from the sale of the Shares as described therein under the caption “Use of Proceeds”) and compliance by the Company Parties with their obligations hereunder have been duly authorized by all necessary corporate action and do not and will not, whether with or without the giving of notice or passage of time or both, conflict with, require a consent under,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individually or in the aggregate, reasonably be expected to have a Material Adverse Effect), nor will such actions (i) result in any violation of the provisions of the charter, by-laws or similar organizational document of the Company or any of its subsidiaries, (ii) conflict with or constitute a breach of, or a default or a Repayment Event (as defined below) under, or result in the creation or imposition of any lien, charge or encumbrance upon any property or assets of the Company or any of its subsidiaries pursuant to, or require the consent of any other party to, any Agreement and Instrument, except for such conflicts, breaches, defaults, liens, charges or encumbrances as would not, individually or in the aggregate, reasonably be expected to have a Material Adverse Effect or (iii) result in any violation of any law, statute, rule, regulation, judgment, order, writ or decree of any Governmental Entity, except for such violations as would not, individually or in the aggregate, reasonably be expected to have a Material Adverse Effect. As used herein, a “</w:t>
      </w:r>
      <w:r>
        <w:rPr>
          <w:rFonts w:ascii="Times New Roman;Times;Serif" w:hAnsi="Times New Roman;Times;Serif"/>
          <w:b w:val="false"/>
          <w:i w:val="false"/>
          <w:caps w:val="false"/>
          <w:smallCaps w:val="false"/>
          <w:sz w:val="20"/>
          <w:u w:val="single"/>
        </w:rPr>
        <w:t>Repayment Event</w:t>
      </w:r>
      <w:r>
        <w:rPr>
          <w:rFonts w:ascii="Times New Roman;Times;Serif" w:hAnsi="Times New Roman;Times;Serif"/>
          <w:b w:val="false"/>
          <w:i w:val="false"/>
          <w:caps w:val="false"/>
          <w:smallCaps w:val="false"/>
          <w:sz w:val="20"/>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Absence of Further Requirements</w:t>
      </w:r>
      <w:r>
        <w:rPr>
          <w:rFonts w:ascii="Times New Roman;Times;Serif" w:hAnsi="Times New Roman;Times;Serif"/>
          <w:b w:val="false"/>
          <w:i w:val="false"/>
          <w:caps w:val="false"/>
          <w:smallCaps w:val="false"/>
          <w:sz w:val="20"/>
        </w:rPr>
        <w:t>. No filing with, or authorization, approval, consent, license, order, registration, qualification or decree of, any Governmental Entity is necessary or required for the performance by the Company Parties of their obligations hereunder, in connection with the offering, issuance or sale of the Shares hereunder or the consummation of the transactions contemplated by this Agreement except such as have been already obtained or as may be required under the Act and the rules and regulations promulgated thereunder, the rules of the New York Stock Exchange (the “</w:t>
      </w:r>
      <w:r>
        <w:rPr>
          <w:rFonts w:ascii="Times New Roman;Times;Serif" w:hAnsi="Times New Roman;Times;Serif"/>
          <w:b w:val="false"/>
          <w:i w:val="false"/>
          <w:caps w:val="false"/>
          <w:smallCaps w:val="false"/>
          <w:sz w:val="20"/>
          <w:u w:val="single"/>
        </w:rPr>
        <w:t>NYSE</w:t>
      </w:r>
      <w:r>
        <w:rPr>
          <w:rFonts w:ascii="Times New Roman;Times;Serif" w:hAnsi="Times New Roman;Times;Serif"/>
          <w:b w:val="false"/>
          <w:i w:val="false"/>
          <w:caps w:val="false"/>
          <w:smallCaps w:val="false"/>
          <w:sz w:val="20"/>
        </w:rPr>
        <w:t>”), state securities laws or the rules of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Financial Statements; Non-GAAP Financial Measures</w:t>
      </w:r>
      <w:r>
        <w:rPr>
          <w:rFonts w:ascii="Times New Roman;Times;Serif" w:hAnsi="Times New Roman;Times;Serif"/>
          <w:b w:val="false"/>
          <w:i w:val="false"/>
          <w:caps w:val="false"/>
          <w:smallCaps w:val="false"/>
          <w:sz w:val="20"/>
        </w:rPr>
        <w:t>. The financial statements included or incorporated by reference in the Registration Statement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throughout the periods involved, except as may be expressly stated in the related notes thereto. The pro forma financial statements, data and the related notes thereto, if any, included or incorporated by reference in the Registration Statement and the Prospectus present fairly in all material respects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Except as included or incorporated by reference therein, no historical or pro forma financial statements or supporting schedules are required to be included or incorporated by reference in the Registration Statement or the Prospectus under the Act or the rules and regulations promulgated thereunder. All disclosures contained in the Registration Statement or the Prospectus, or incorporated by reference therein, regarding “non-GAAP financial measures” (as such term is defined by the rules and regulations of the Commission) comply with Regulation G of the Exchange Act and Item 10 of Regulation S-K of the Act, to the extent applicable. The interactive data in eXtensible Business Reporting Language included or incorporated by reference in the Registration Statement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Independent Accountants</w:t>
      </w:r>
      <w:r>
        <w:rPr>
          <w:rFonts w:ascii="Times New Roman;Times;Serif" w:hAnsi="Times New Roman;Times;Serif"/>
          <w:b w:val="false"/>
          <w:i w:val="false"/>
          <w:caps w:val="false"/>
          <w:smallCaps w:val="false"/>
          <w:sz w:val="20"/>
        </w:rPr>
        <w:t>. The accountants who certified the financial statements and supporting schedules included in the Registration Statement and the Prospectus are independent public accountants as required by the Act and the rules and regulations promulgated thereunder, the Exchange Act and the rules and regulations promulgated thereunder and the Public Company Accounting Oversight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Accounting Controls and Disclosure Controls</w:t>
      </w:r>
      <w:r>
        <w:rPr>
          <w:rFonts w:ascii="Times New Roman;Times;Serif" w:hAnsi="Times New Roman;Times;Serif"/>
          <w:b w:val="false"/>
          <w:i w:val="false"/>
          <w:caps w:val="false"/>
          <w:smallCaps w:val="false"/>
          <w:sz w:val="20"/>
        </w:rPr>
        <w:t>. The Company and each of its subsidiaries maintain internal control over financial reporting (as defined under Rule 13a-15 and Rule 15d-15 promulgated under the Exchange Act) and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prepared in accordance with the Commission’s rules and guidelines applicable thereto. Except as described in the Registration Statement and the Prospectus, since the Company’s inception, there has been (A) no material weakness in the Company’s internal control over financial reporting that could adversely affect the Company’s ability to record, process, summarize and report financial data and (B)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Compliance with the Sarbanes-Oxley Act</w:t>
      </w:r>
      <w:r>
        <w:rPr>
          <w:rFonts w:ascii="Times New Roman;Times;Serif" w:hAnsi="Times New Roman;Times;Serif"/>
          <w:b w:val="false"/>
          <w:i w:val="false"/>
          <w:caps w:val="false"/>
          <w:smallCaps w:val="false"/>
          <w:sz w:val="20"/>
        </w:rPr>
        <w:t>. The Company is in compliance in all material respects with all provisions of the Sarbanes-Oxley Act of 2002 and all rules and regulations promulgated thereunder or implementing the provisions thereof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that are in effect and with which the Company is required to comply. To the Company’s knowledge, such internal controls over financial reporting are effective at a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rPr>
        <w:t>No Material Adverse Change in Business.</w:t>
      </w:r>
      <w:r>
        <w:rPr>
          <w:rFonts w:ascii="Times New Roman;Times;Serif" w:hAnsi="Times New Roman;Times;Serif"/>
          <w:b w:val="false"/>
          <w:i w:val="false"/>
          <w:caps w:val="false"/>
          <w:smallCaps w:val="false"/>
          <w:sz w:val="20"/>
        </w:rPr>
        <w:t xml:space="preserve"> Except as otherwise stated therein, since the respective dates as of which information is given in the Registration Statement and the Prospectus, (i) there has been no material adverse change in the condition, financial or otherwise, or in the earnings, business, operations or prospects as described in or contemplated by the Registration Statement and the Prospectus, whether or not arising from transactions in the ordinary course of business, of the Company and its subsidiaries, considered as one entity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any of its subsidiaries on any class of their capital stock or other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caps w:val="false"/>
          <w:smallCaps w:val="false"/>
          <w:sz w:val="20"/>
        </w:rPr>
        <w:t>Title to Property</w:t>
      </w:r>
      <w:r>
        <w:rPr>
          <w:rFonts w:ascii="Times New Roman;Times;Serif" w:hAnsi="Times New Roman;Times;Serif"/>
          <w:b w:val="false"/>
          <w:i w:val="false"/>
          <w:caps w:val="false"/>
          <w:smallCaps w:val="false"/>
          <w:sz w:val="20"/>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(i) are described in the Registration Statement and the Prospectus or (ii) do not, individually or in the aggregate, materially and adversely affect the value of such properties taken as a whole and do not materially interfere with the use made and proposed to be made of such property by the Company or any of its subsidiaries considered as one enterprise; and all of the leases and subleases of the Company and its subsidiaries, considered as one enterprise, and under which the Company or any of its subsidiaries holds properties described in the Registration Statement or the Prospectus, are in full force and effect, with such exceptions as are not material and do not materially interfere with the use made or proposed to be made of such properties, and neither the Company nor any such subsidiary has received actual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caps w:val="false"/>
          <w:smallCaps w:val="false"/>
          <w:sz w:val="20"/>
        </w:rPr>
        <w:t>Possession of Licenses and Permits</w:t>
      </w:r>
      <w:r>
        <w:rPr>
          <w:rFonts w:ascii="Times New Roman;Times;Serif" w:hAnsi="Times New Roman;Times;Serif"/>
          <w:b w:val="false"/>
          <w:i w:val="false"/>
          <w:caps w:val="false"/>
          <w:smallCaps w:val="false"/>
          <w:sz w:val="20"/>
        </w:rPr>
        <w:t>. The Company and its subsidiaries have filed or caused to be filed with the appropriate Governmental Entities all forms, statements, reports, and documents (including all exhibits, amendments, and supplements thereto) (each a “</w:t>
      </w:r>
      <w:r>
        <w:rPr>
          <w:rFonts w:ascii="Times New Roman;Times;Serif" w:hAnsi="Times New Roman;Times;Serif"/>
          <w:b w:val="false"/>
          <w:i w:val="false"/>
          <w:caps w:val="false"/>
          <w:smallCaps w:val="false"/>
          <w:sz w:val="20"/>
          <w:u w:val="single"/>
        </w:rPr>
        <w:t>Filing</w:t>
      </w:r>
      <w:r>
        <w:rPr>
          <w:rFonts w:ascii="Times New Roman;Times;Serif" w:hAnsi="Times New Roman;Times;Serif"/>
          <w:b w:val="false"/>
          <w:i w:val="false"/>
          <w:caps w:val="false"/>
          <w:smallCaps w:val="false"/>
          <w:sz w:val="20"/>
        </w:rPr>
        <w:t>”) required to be filed by it with respect to the Company and each of its subsidiary’s businesses and each of their facilities under all applicable laws and their respective rules and regulations thereunder, all of which complied in all respects with all applicable requirements of the appropriate law and rules and regulations thereunder in effect on the date each such Filing was made, except where the failure to do so would not, individually or in the aggregate, reasonably be expected to have a Material Adverse Effect. The Company and its subsidiaries possess such valid and current certificates, authorizations or permits issued by the appropriate Governmental Entities necessary to conduct the business now operated by them (each a “</w:t>
      </w:r>
      <w:r>
        <w:rPr>
          <w:rFonts w:ascii="Times New Roman;Times;Serif" w:hAnsi="Times New Roman;Times;Serif"/>
          <w:b w:val="false"/>
          <w:i w:val="false"/>
          <w:caps w:val="false"/>
          <w:smallCaps w:val="false"/>
          <w:sz w:val="20"/>
          <w:u w:val="single"/>
        </w:rPr>
        <w:t>Governmental License</w:t>
      </w:r>
      <w:r>
        <w:rPr>
          <w:rFonts w:ascii="Times New Roman;Times;Serif" w:hAnsi="Times New Roman;Times;Serif"/>
          <w:b w:val="false"/>
          <w:i w:val="false"/>
          <w:caps w:val="false"/>
          <w:smallCaps w:val="false"/>
          <w:sz w:val="20"/>
        </w:rPr>
        <w:t>”), except where the failure so to possess would not, individually or in the aggregate, reasonably be expected to have a Material Adverse Effect. The Company and its subsidiaries are in compliance with the terms and conditions of all Governmental Licenses, except where the failure so to comply would not, individually or in the aggregate, reasonably be expected to have a Material Adverse Effect. All of the Governmental Licenses are valid and in full force and effect, except when the invalidity of such Governmental Licenses or the failure of such Governmental Licenses to be in full force and effect would not, individually or in the aggregate, reasonably be expected to have a Material Adverse Effect. Neither the Company nor any of its subsidiaries has received any notice of proceedings relating to the revocation or modification of any Governmental Licenses which, if the subject of an unfavorable decision, ruling or finding, would,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caps w:val="false"/>
          <w:smallCaps w:val="false"/>
          <w:sz w:val="20"/>
        </w:rPr>
        <w:t>Possession of Intellectual Property</w:t>
      </w:r>
      <w:r>
        <w:rPr>
          <w:rFonts w:ascii="Times New Roman;Times;Serif" w:hAnsi="Times New Roman;Times;Serif"/>
          <w:b w:val="false"/>
          <w:i w:val="false"/>
          <w:caps w:val="false"/>
          <w:smallCaps w:val="false"/>
          <w:sz w:val="20"/>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reasonably necessary to carry on the business now operated by them, except as would not, individually or in the aggregate, have a Material Adverse Effect, and neither the Company nor any of its subsidiaries has received any notice of any infringement of or conflict with asserted intellectual property rights of others with respect to any Intellectual Property, which infringement or conflict (if the subject of any unfavorable decision, ruling or finding) or invalidity or inadequacy, individually or in the aggregate,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caps w:val="false"/>
          <w:smallCaps w:val="false"/>
          <w:sz w:val="20"/>
        </w:rPr>
        <w:t>Absence of Proceedings</w:t>
      </w:r>
      <w:r>
        <w:rPr>
          <w:rFonts w:ascii="Times New Roman;Times;Serif" w:hAnsi="Times New Roman;Times;Serif"/>
          <w:b w:val="false"/>
          <w:i w:val="false"/>
          <w:caps w:val="false"/>
          <w:smallCaps w:val="false"/>
          <w:sz w:val="20"/>
        </w:rPr>
        <w:t>. Except as disclosed in the Registration Statement and the Prospectus, there is no action, suit, proceeding, inquiry or investigation before or brought by any Governmental Entity now pending or, to the knowledge of the Company Parties, threatened, against or affecting the Company or any of its subsidiaries, which would, individually or in the aggregate, reasonably be expected to have a Material Adverse Effect, or which might materially and adversely affect their respective properties or assets or the consummation of the transactions contemplated in this Agreement or the performance by the Company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caps w:val="false"/>
          <w:smallCaps w:val="false"/>
          <w:sz w:val="20"/>
        </w:rPr>
        <w:t>Accuracy of Exhibits</w:t>
      </w:r>
      <w:r>
        <w:rPr>
          <w:rFonts w:ascii="Times New Roman;Times;Serif" w:hAnsi="Times New Roman;Times;Serif"/>
          <w:b w:val="false"/>
          <w:i w:val="false"/>
          <w:caps w:val="false"/>
          <w:smallCaps w:val="false"/>
          <w:sz w:val="20"/>
        </w:rPr>
        <w:t>. There are no contracts or documents which are required by the Act or the rules and regulations promulgated thereunder to be described in the Registration Statement or the Prospectus or to be filed as exhibits to the Registration Statement which have not been so described and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The Company and its subsidiaries carry, or are entitled to the benefits of insurance, with financially sound institutions with policies in such amounts and with such deductibles and covering such risks as are generally deemed reasonably adequate and customary for their businesses including, without limitation, policies covering real and personal property owned or leased by the Company and its subsidiaries against theft, damage, destruction, acts of vandalism, flood and earthquakes.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caps w:val="false"/>
          <w:smallCaps w:val="false"/>
          <w:sz w:val="20"/>
        </w:rPr>
        <w:t>Absence of Certain Relationships</w:t>
      </w:r>
      <w:r>
        <w:rPr>
          <w:rFonts w:ascii="Times New Roman;Times;Serif" w:hAnsi="Times New Roman;Times;Serif"/>
          <w:b w:val="false"/>
          <w:i w:val="false"/>
          <w:caps w:val="false"/>
          <w:smallCaps w:val="false"/>
          <w:sz w:val="20"/>
        </w:rPr>
        <w:t>. No relationship, direct or indirect, exists between or among the Company or its subsidiaries, on the one hand, and the directors, officers or stockholders of the Company, on the other hand, which is required under the Act to be described in the Registration Statement or the Prospectus which is not so described. Except as disclosed in the Registration Statement and the Prospectus, there are no outstanding loans or advances (except advances for business expenses in the ordinary course of business) or guarantees of indebtedness by the Company or any affiliate of the Company to the benefit of any of the officers or directors of the Company or any affiliate of the Company or any of their respective family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caps w:val="false"/>
          <w:smallCaps w:val="false"/>
          <w:sz w:val="20"/>
        </w:rPr>
        <w:t>Absence of Labor Dispute</w:t>
      </w:r>
      <w:r>
        <w:rPr>
          <w:rFonts w:ascii="Times New Roman;Times;Serif" w:hAnsi="Times New Roman;Times;Serif"/>
          <w:b w:val="false"/>
          <w:i w:val="false"/>
          <w:caps w:val="false"/>
          <w:smallCaps w:val="false"/>
          <w:sz w:val="20"/>
        </w:rPr>
        <w:t>. No labor dispute with the employees of the Company or any of its subsidiaries exists or, to the knowledge of the Company Parties, is imminent, which, in any case,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caps w:val="false"/>
          <w:smallCaps w:val="false"/>
          <w:sz w:val="20"/>
        </w:rPr>
        <w:t>Environmental Laws</w:t>
      </w:r>
      <w:r>
        <w:rPr>
          <w:rFonts w:ascii="Times New Roman;Times;Serif" w:hAnsi="Times New Roman;Times;Serif"/>
          <w:b w:val="false"/>
          <w:i w:val="false"/>
          <w:caps w:val="false"/>
          <w:smallCaps w:val="false"/>
          <w:sz w:val="20"/>
        </w:rPr>
        <w:t>. Except as described in the Registration Statement and the Prospectus or would not, individually or in the aggregate, reasonably be expected to have a Material Adverse Effect, the Company and its subsidiaries (i) are conducting and have conducted their businesses, operations and facilities in compliance with Environmental Laws (as defined below); (ii) have duly obtained, possess, maintain in full force and effect and have fulfilled and performed all of their obligations under any and all permits, licenses or registrations required under Environmental Law (“</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(iii) have not received any notice from a governmental authority or any other third party alleging any violation of Environmental Law or liability thereunder; (iv) are not subject to any pending or, to the best knowledge of the Company or any of its subsidiaries, threatened claim in writing or other legal proceeding under any Environmental Laws against the Company or any of its subsidiaries; (v) do not have knowledge of any applicable Environmental Laws, or any unsatisfied conditions in an Environmental Permit, that, individually or in the aggregate, can reasonably be expected to require any material capital expenditures for either the installation of new pollution control equipment, or a switch in a project’s fuel or other material modification of current operations in order to maintain the Company’s or the subsidiaries’ compliance with Environmental Laws; and (vi) do not have knowledge of any facts or circumstances that reasonably would be expected to result in the Company or any of its subsidiaries being subjected to a material liability arising under Environmental Laws. As used in this paragraph,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any and all applicable foreign, federal, state and local laws and regulations, or any enforceable administrative or judicial interpretation thereof, relating to pollution or the protection of human health or the environment, including, without limitation, those relating to (i) emissions, discharges or releases of Hazardous Substances into ambient air, surface water, groundwater or land, (ii) the generation, manufacture, processing, distribution, use, treatment, storage, disposal, release, transport or handling of, or exposure to, Hazardous Substances, (iii) the protection of wildlife or endangered or threatened species or (iv) the investigation, remediation or cleanup of any Hazardous Substances. As used in this paragraph, “</w:t>
      </w:r>
      <w:r>
        <w:rPr>
          <w:rFonts w:ascii="Times New Roman;Times;Serif" w:hAnsi="Times New Roman;Times;Serif"/>
          <w:b w:val="false"/>
          <w:i w:val="false"/>
          <w:caps w:val="false"/>
          <w:smallCaps w:val="false"/>
          <w:sz w:val="20"/>
          <w:u w:val="single"/>
        </w:rPr>
        <w:t>Hazardous Substances</w:t>
      </w:r>
      <w:r>
        <w:rPr>
          <w:rFonts w:ascii="Times New Roman;Times;Serif" w:hAnsi="Times New Roman;Times;Serif"/>
          <w:b w:val="false"/>
          <w:i w:val="false"/>
          <w:caps w:val="false"/>
          <w:smallCaps w:val="false"/>
          <w:sz w:val="20"/>
        </w:rPr>
        <w:t>” means pollutants, contaminants, hazardous substances, materials or wastes, petroleum, petroleum products and their breakdown constituents or any other chemical substance regulated under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caps w:val="false"/>
          <w:smallCaps w:val="false"/>
          <w:sz w:val="20"/>
        </w:rPr>
        <w:t>Payment of Taxes</w:t>
      </w:r>
      <w:r>
        <w:rPr>
          <w:rFonts w:ascii="Times New Roman;Times;Serif" w:hAnsi="Times New Roman;Times;Serif"/>
          <w:b w:val="false"/>
          <w:i w:val="false"/>
          <w:caps w:val="false"/>
          <w:smallCaps w:val="false"/>
          <w:sz w:val="20"/>
        </w:rPr>
        <w:t>. All federal, state and other material tax returns required to be filed, and all federal, state and other material taxes required to be paid, by the Company Parties and their subsidiaries pursuant to applicable law have been filed and paid, except for taxes required to be paid pursuant to assessments against which appeals have been taken or will be timely taken and as to which adequate reserves have been provided in accordance with GAAP. The Company has made adequate charges, accruals and reserves in accordance with GAAP in the applicable financial statements referred to in Section 2(s) hereof in respect of all federal, state and other taxes for all periods as to which the tax liability of the Company and its consolidated subsidiaries has not been finally determined, except to the extent of any inadequacy that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None of the following events has occurred or exists: (i) a failure to fulfill the obligations, if any, under the minimum funding standards of Section 302 of the United States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and the regulations and published interpretations thereunder with respect to a Plan (as defined below),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Parties and their subsidiaries that could have a Material Adverse Effect; (iii) any breach of any contractual obligation, or any violation of law or applicable qualification standards, with respect to the employment or compensation of employees by any of the Company Parties and their subsidiaries that could have a Material Adverse Effect. None of the following events has occurred or is reasonably likely to occur: (w) a material increase in the aggregate amount of contributions required to be made to all Plans in the current fiscal year of any of the Company Parties and their subsidiaries compared to the amount of such contributions made in the most recently completed fiscal year of any of the Company Parties and their subsidiaries that could reasonably be expected to result in a Material Adverse Effect; (x) a material increase in the “accumulated post-retirement benefit obligations” (within the meaning of Statement of Financial Accounting Standards 106) of any of the Company Parties and their subsidiaries compared to the amount of such obligations in the most recently completed fiscal year of any of the Company Parties and their subsidiaries that could reasonably be expected to result in a Material Adverse Effect; (y) any event or condition giving rise to a liability under Title IV of ERISA that could have a Material Adverse Effect; or (z) the filing of a claim by one or more employees or former employees of any of the Company Parties and their subsidiaries related to their employment that could have a Material Adverse Effect. For purposes of this paragraph, the term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 plan (within the meaning of Section 3(3) of ERISA) subject to Title IV of ERISA with respect to which any of the Company Parties and their subsidiaries may have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Statistical and Market-Related Data</w:t>
      </w:r>
      <w:r>
        <w:rPr>
          <w:rFonts w:ascii="Times New Roman;Times;Serif" w:hAnsi="Times New Roman;Times;Serif"/>
          <w:b w:val="false"/>
          <w:i w:val="false"/>
          <w:caps w:val="false"/>
          <w:smallCaps w:val="false"/>
          <w:sz w:val="20"/>
        </w:rPr>
        <w:t>. Any statistical and market-related data included in the Registration Statement or the Prospectus are based on or derived from sources that the Company believes, after reasonable inquiry, to be reliable and accurate and, to the extent required, the Company has obtained consent to the use of such data from such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caps w:val="false"/>
          <w:smallCaps w:val="false"/>
          <w:sz w:val="20"/>
        </w:rPr>
        <w:t>Investment Company Act</w:t>
      </w:r>
      <w:r>
        <w:rPr>
          <w:rFonts w:ascii="Times New Roman;Times;Serif" w:hAnsi="Times New Roman;Times;Serif"/>
          <w:b w:val="false"/>
          <w:i w:val="false"/>
          <w:caps w:val="false"/>
          <w:smallCaps w:val="false"/>
          <w:sz w:val="20"/>
        </w:rPr>
        <w:t>. Neither Company Party is required, and upon the issuance and sale of the Shares as herein contemplated and the application of the net proceeds therefrom as described in the Registration Statement and the Prospectus, neither Company Party will be required, to register as an “investment company” under the Investment Company Act of 1940, as amended (the “</w:t>
      </w:r>
      <w:r>
        <w:rPr>
          <w:rFonts w:ascii="Times New Roman;Times;Serif" w:hAnsi="Times New Roman;Times;Serif"/>
          <w:b w:val="false"/>
          <w:i w:val="false"/>
          <w:caps w:val="false"/>
          <w:smallCaps w:val="false"/>
          <w:sz w:val="20"/>
          <w:u w:val="single"/>
        </w:rPr>
        <w:t>1940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caps w:val="false"/>
          <w:smallCaps w:val="false"/>
          <w:sz w:val="20"/>
        </w:rPr>
        <w:t>No Finder’s Fee</w:t>
      </w:r>
      <w:r>
        <w:rPr>
          <w:rFonts w:ascii="Times New Roman;Times;Serif" w:hAnsi="Times New Roman;Times;Serif"/>
          <w:b w:val="false"/>
          <w:i w:val="false"/>
          <w:caps w:val="false"/>
          <w:smallCaps w:val="false"/>
          <w:sz w:val="20"/>
        </w:rPr>
        <w:t>. Except for the Managers’ discounts and commissions payable by the Company to the Managers in connection with the offering of the Shares contemplated herein or as otherwise disclosed in the Prospectus, the Company has not incurred any liability for any brokerage commission, finder’s fees or similar payments in connection with the offering of the Shares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caps w:val="false"/>
          <w:smallCaps w:val="false"/>
          <w:sz w:val="20"/>
        </w:rPr>
        <w:t>Absence of Manipulation</w:t>
      </w:r>
      <w:r>
        <w:rPr>
          <w:rFonts w:ascii="Times New Roman;Times;Serif" w:hAnsi="Times New Roman;Times;Serif"/>
          <w:b w:val="false"/>
          <w:i w:val="false"/>
          <w:caps w:val="false"/>
          <w:smallCaps w:val="false"/>
          <w:sz w:val="20"/>
        </w:rPr>
        <w:t>. Neither the Company nor any affiliate of the Company has taken, nor will the Company or any affiliate take, directly or indirectly, any action which is designed, or would be expected, to cause or result in, or which constitutes, the stabilization or manipulation of the price of any security of the Company to facilitate the sale or resale of the Shares or to result in a violation of Regulation M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caps w:val="false"/>
          <w:smallCaps w:val="false"/>
          <w:sz w:val="20"/>
        </w:rPr>
        <w:t>No Unlawful Payments</w:t>
      </w:r>
      <w:r>
        <w:rPr>
          <w:rFonts w:ascii="Times New Roman;Times;Serif" w:hAnsi="Times New Roman;Times;Serif"/>
          <w:b w:val="false"/>
          <w:i w:val="false"/>
          <w:caps w:val="false"/>
          <w:smallCaps w:val="false"/>
          <w:sz w:val="20"/>
        </w:rPr>
        <w:t>. None of the Company, any of its subsidiaries or, to the knowledge of the Company Parties,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any other applicable anti-bribery or anti-corruption law and the Company, its subsidiaries and, to the knowledge of the Company, their respective affiliates have conducted their businesses in compliance with the FCPA and all other applicable anti-bribery or anti-corruption law and have instituted and maintain policies and procedures designed to ensure, and which are reasonably expected to continue to ensure, continued compliance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caps w:val="false"/>
          <w:smallCaps w:val="false"/>
          <w:sz w:val="20"/>
        </w:rPr>
        <w:t>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Governmental Entity involving the Company or any of its subsidiaries with respect to the Money Laundering Laws is pending or, to the best knowledge of the Company Parties,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caps w:val="false"/>
          <w:smallCaps w:val="false"/>
          <w:sz w:val="20"/>
        </w:rPr>
        <w:t>OFAC</w:t>
      </w:r>
      <w:r>
        <w:rPr>
          <w:rFonts w:ascii="Times New Roman;Times;Serif" w:hAnsi="Times New Roman;Times;Serif"/>
          <w:b w:val="false"/>
          <w:i w:val="false"/>
          <w:caps w:val="false"/>
          <w:smallCaps w:val="false"/>
          <w:sz w:val="20"/>
        </w:rPr>
        <w:t>. None of the Company, any of its subsidiaries or, to the knowledge of the Company Parties, any director, officer, agent, employee, affiliate or representative of the Company or any of its subsidiaries is an individual or entity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currently the subject or target of any sanctions administered or enforced by the United States Government, including, without limitation, the U.S. Department of the Treasury’s Office of Foreign Assets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the European Union, His Majesty’s Treasury,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 is the Company or any of its subsidiaries located, organized or resident in a country or territory that is the subject of Sanctions (including, without limitation, the so-called Donetsk People’s Republic, the so-called Luhansk People’s Republic, or any other Covered Region of Ukraine identified pursuant to Executive Order 14065, Crimea, Cuba, Iran and North Korea); and the Company will not directly or indirectly use the proceeds of the sale of the Shares,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agent, manager, underwriter, advisor, investor or otherwise) of Sanctions. Since April 24, 2019, the Company and each of its subsidiaries have not knowingly engaged in, are not now knowingly engaged in, and will not engage in, any dealings or transactions with any Person, or in any country or territory, that at the time of the dealing or transaction is or was the subject or target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caps w:val="false"/>
          <w:smallCaps w:val="false"/>
          <w:sz w:val="20"/>
        </w:rPr>
        <w:t>Cybersecurity</w:t>
      </w:r>
      <w:r>
        <w:rPr>
          <w:rFonts w:ascii="Times New Roman;Times;Serif" w:hAnsi="Times New Roman;Times;Serif"/>
          <w:b w:val="false"/>
          <w:i w:val="false"/>
          <w:caps w:val="false"/>
          <w:smallCaps w:val="false"/>
          <w:sz w:val="20"/>
        </w:rPr>
        <w:t>. (A)(i) Except as would not, individually or in the aggregate, reasonably be expected to have a Material Adverse Effect, there has been no security breach or incident, unauthorized access or disclosure, or other compromise of or relating to any of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or its subsidiaries, and any such data processed or stored by third parties on behalf of the Company and its subsidiaries),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(ii) the Company and its subsidiaries have not been notified of, and have no knowledge of any event or condition that would reasonably be expected to result in, any material security breach or incident, unauthorized access or disclosure or other compromise to their IT Systems and Data; (B) except as would not, individually or in the aggregate,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and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caps w:val="false"/>
          <w:smallCaps w:val="false"/>
          <w:sz w:val="20"/>
        </w:rPr>
        <w:t>Restrictions on Distributions</w:t>
      </w:r>
      <w:r>
        <w:rPr>
          <w:rFonts w:ascii="Times New Roman;Times;Serif" w:hAnsi="Times New Roman;Times;Serif"/>
          <w:b w:val="false"/>
          <w:i w:val="false"/>
          <w:caps w:val="false"/>
          <w:smallCaps w:val="false"/>
          <w:sz w:val="20"/>
        </w:rPr>
        <w:t>. Except as described in the Registration Statement and the Prospectus, no subsidiary of the Company is currently prohibited in any material respect, directly or indirectly, from (i) paying any distributions to the Company Parties or (ii) (A) making any other distribution on such subsidiary’s equity interests, (B) repaying to the Company any loans or advances to such subsidiary from the Company or (C) transferring any of such subsidiary’s property or assets to the Company or any other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caps w:val="false"/>
          <w:smallCaps w:val="false"/>
          <w:sz w:val="20"/>
        </w:rPr>
        <w:t>No Equity Awards</w:t>
      </w:r>
      <w:r>
        <w:rPr>
          <w:rFonts w:ascii="Times New Roman;Times;Serif" w:hAnsi="Times New Roman;Times;Serif"/>
          <w:b w:val="false"/>
          <w:i w:val="false"/>
          <w:caps w:val="false"/>
          <w:smallCaps w:val="false"/>
          <w:sz w:val="20"/>
        </w:rPr>
        <w:t>. Except for grants disclosed in the Registration Statement and the Prospectus or the Section 16 filings related to the Company pursuant to the Exchange Act, the Company has not granted to any person or entity, a stock option or other equity-based award to purchase or receive equity securities of the Company Parties pursuant to an equity-based compensation plan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caps w:val="false"/>
          <w:smallCaps w:val="false"/>
          <w:sz w:val="20"/>
        </w:rPr>
        <w:t>No Integration</w:t>
      </w:r>
      <w:r>
        <w:rPr>
          <w:rFonts w:ascii="Times New Roman;Times;Serif" w:hAnsi="Times New Roman;Times;Serif"/>
          <w:b w:val="false"/>
          <w:i w:val="false"/>
          <w:caps w:val="false"/>
          <w:smallCaps w:val="false"/>
          <w:sz w:val="20"/>
        </w:rPr>
        <w:t>. The Company Parties have not sold or issued any securities that would be integrated with the offering of Shares pursuant to the Act and the rules and regulations promulgated thereunder or the interpretations thereof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caps w:val="false"/>
          <w:smallCaps w:val="false"/>
          <w:sz w:val="20"/>
        </w:rPr>
        <w:t xml:space="preserve">Lending Relationship. </w:t>
      </w:r>
      <w:r>
        <w:rPr>
          <w:rFonts w:ascii="Times New Roman;Times;Serif" w:hAnsi="Times New Roman;Times;Serif"/>
          <w:b w:val="false"/>
          <w:i w:val="false"/>
          <w:caps w:val="false"/>
          <w:smallCaps w:val="false"/>
          <w:sz w:val="20"/>
        </w:rPr>
        <w:t>Except as disclosed in the Registration Statement, and the Prospectus, the Company (i) does not have any material lending or other relationship with any bank or lending affiliate of any Manager and (ii) does not intend to use any of the proceeds from the sale of the Shares to repay any outstanding debt owed to any affiliate of any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of the Company or any of its subsidiaries (including any entity that controls a subsidiary) delivered to the Managers or to counsel for the Managers shall be deemed a representation and warranty by the Company or such other entity, as applicable, to each Manager as to the matters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3.              </w:t>
      </w:r>
      <w:r>
        <w:rPr>
          <w:rFonts w:ascii="Times New Roman;Times;Serif" w:hAnsi="Times New Roman;Times;Serif"/>
          <w:b w:val="false"/>
          <w:i w:val="false"/>
          <w:caps w:val="false"/>
          <w:smallCaps w:val="false"/>
          <w:sz w:val="20"/>
          <w:u w:val="single"/>
        </w:rPr>
        <w:t>Sale and Delivery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Sale of Shares by a Manager, as Sales Agent</w:t>
      </w:r>
      <w:r>
        <w:rPr>
          <w:rFonts w:ascii="Times New Roman;Times;Serif" w:hAnsi="Times New Roman;Times;Serif"/>
          <w:b w:val="false"/>
          <w:i w:val="false"/>
          <w:caps w:val="false"/>
          <w:smallCaps w:val="false"/>
          <w:sz w:val="20"/>
        </w:rPr>
        <w:t>. Subject to the terms and conditions and in reliance upon the representations and warranties herein set forth, the Company and the Managers agree that the Company may seek to issue and sell Shares from time to time through the Managers, acting as sales agents, and each Manager agrees to use its commercially reasonable efforts to sell, as sales agent for the Company, the Shares with respect to which such Manager has agreed to act as sales agent on the following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submit its orders (a “</w:t>
      </w:r>
      <w:r>
        <w:rPr>
          <w:rFonts w:ascii="Times New Roman;Times;Serif" w:hAnsi="Times New Roman;Times;Serif"/>
          <w:b w:val="false"/>
          <w:i w:val="false"/>
          <w:caps w:val="false"/>
          <w:smallCaps w:val="false"/>
          <w:sz w:val="20"/>
          <w:u w:val="single"/>
        </w:rPr>
        <w:t>Placement Notice</w:t>
      </w:r>
      <w:r>
        <w:rPr>
          <w:rFonts w:ascii="Times New Roman;Times;Serif" w:hAnsi="Times New Roman;Times;Serif"/>
          <w:b w:val="false"/>
          <w:i w:val="false"/>
          <w:caps w:val="false"/>
          <w:smallCaps w:val="false"/>
          <w:sz w:val="20"/>
        </w:rPr>
        <w:t xml:space="preserve">”) through any of the individuals listed as “Authorized Representatives”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as the same may be amended or supplemented by the Company in its sole discretion upon advance written notice to the Managers, to such Manager by electronic mail using a form substantially similar to that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by telephone (including any price, time or size limits or other customary parameters or conditions) to sell Shares on any Trading Day (as defined below) for the NYSE (other than a day on which the NYSE is scheduled to close prior to its regular weekday closing time), which order shall be confirmed by such Manager promptly (and accepted by the Company) by electronic mail using a form substantially similar to that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make such sales; provided that the Company has satisfied its obligations under Section 6 of this Agreement. The Company will designate (i) the maximum amount of Shares to be sold by such Manager daily as agreed to by such Manager (in any event not in excess of the amount available for issuance under the Prospectus and the currently effective Registration Statement), (ii) the minimum price per Share at which such Shares may be sold, (iii) dates on which the Shares may be sold and (iv) the compensation payable to such Manager for such sales pursuant to Section 3(a)(v), which compensation shall have been discussed and agreed to by the Company and such Manager. For the avoidance of doubt, the Company shall submit instructions to sell Shares to only one Manager, if any, on any single Trading Day. For the purposes hereof,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shares of Class C Common Stock are purchased and sold on the NYSE or such other principal market on which the Class C Common Stock is listed or quoted.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the terms and conditions hereof, such Manager shall use its commercially reasonable efforts, consistent with its normal trading and sales practices, to sell on a particular day all of the Shares designated for sale by the Company on such day. The Company acknowledges and agrees that (A) there can be no assurance that the Managers will be successful in selling the Shares, (B) no Manager will incur any liability or obligation to the Company or any other person or entity if such Manager does not sell Shares for any reason other than a failure by such Manager to use its commercially reasonable efforts consistent with its normal trading and sales practices to sell such Shares as required under this Agreement, (C) no Manager shall be under any obligation to purchase Shares on a principal basis pursuant to this Agreement and (D) no Manager shall have an obligation to offer or sell any Shares in the event an offer or sale of the Shares on behalf of the Company may, in the judgment of such Manager, constitute the sale of a “block” under Rule 10b-18(a)(5) under the Exchange Act or a “distribution” within the meaning of Rule 100 of Regulation M under the Exchange Act, or such Manager reasonably believes it may be deemed an “underwriter” under the Act in a transaction that is other than by means set forth under Section 3(a)(iv)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not authorize the issuance and sale of, and the relevant Manager shall not be obligated to use its commercially reasonable efforts to sell, any Shares at a price lower than the minimum price therefor designated from time to time by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xml:space="preserve">”), a duly authorized committee thereof, or any individual to whom such authority has been duly and properly delegated by the Board or a duly authorized committee thereof, and notified to such Manager in writing. The Company or any Manager may, upon notice to the other party hereto by electronic mail or telephone (and in the case of telephone, confirmed promptly by electronic mail), suspend or terminate the offering of the Shares with respect to which such Manager is acting as sales agent for any reason and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suspension or termination shall not affect or impair the parties’ respective obligations with respect to the Shares sold hereunder prior to the giving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Manager hereby covenants and agrees not to make any sales of the Shares on behalf of the Company pursuant to this Section 3(a), other than (A)(1) by means of ordinary brokers’ transactions between members of the NYSE, any other national securities exchange or facility thereof, a trading facility of a national securities association, or an alternative trading system that qualify for delivery of a Prospectus to the NYSE in accordance with Rule 153 under the Act, (2) to or through a market maker or (3) directly on or through an electronic communication network, a “dark pool” or any similar market venue and (B) such other sales of the Shares on behalf of the Company in its capacity as agent of the Company as shall be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compensation to each Manager for sales of the Shares with respect to which such Manager acts as sales agent under this Agreement shall not exceed 1.5% of the gross sales price of the Shares sold pursuant to this Section 3(a), as mutually agreed to in writing by the Company and such Manager, and payable as described in the succeeding subsection (vi) below. The gross proceeds less such Manager’s commission shall constitute the net proceeds to the Company (the “</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for such Shares. Payment of the Net Proceeds after further deduction for any transaction fees imposed by any governmental or self-regulatory organization in respect of such sales (the “</w:t>
      </w:r>
      <w:r>
        <w:rPr>
          <w:rFonts w:ascii="Times New Roman;Times;Serif" w:hAnsi="Times New Roman;Times;Serif"/>
          <w:b w:val="false"/>
          <w:i w:val="false"/>
          <w:caps w:val="false"/>
          <w:smallCaps w:val="false"/>
          <w:sz w:val="20"/>
          <w:u w:val="single"/>
        </w:rPr>
        <w:t>Transaction Fees</w:t>
      </w:r>
      <w:r>
        <w:rPr>
          <w:rFonts w:ascii="Times New Roman;Times;Serif" w:hAnsi="Times New Roman;Times;Serif"/>
          <w:b w:val="false"/>
          <w:i w:val="false"/>
          <w:caps w:val="false"/>
          <w:smallCaps w:val="false"/>
          <w:sz w:val="20"/>
        </w:rPr>
        <w:t>”) for Shares sold by the Company on any Settlement Date shall be made to the Company by federal funds wire transfer to the account of the Company against delivery of such Shares to such Manager’s account, or an account of such Manager’s designee, at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Manager acting as sales agent hereunder shall provide written confirmation (which may be by electronic mail) to the Company following the close of trading on the NYSE each day on which Shares with respect to which such Manager is acting as sales agent are sold under this Section 3(a) setting forth the number of Shares sold on such day, the aggregate gross sales proceeds from such sales, the Net Proceeds to the Company and the compensation payable by the Company to such Manager with respect to such sales. Such compensation shall be set forth and invoiced in periodic statements from such Manager to the Company, with payment to be made by the Company promptly after its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Settlement for sales of the Shares pursuant to this Section 3(a) will generally occur on the first Trading Day following the date on which such sales are made, unless another date shall be agreed to in writing by the Company and the applicable Manager (each such day,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On each Settlement Date, the Shares sold through a Manager for settlement on such date shall be issued and delivered by the Company to such Manager against payment of the Net Proceeds less any Transaction Fees for the sale of such Shares. Settlement for all such Shares shall be effected by free delivery of the Shares to such Manager’s account, or an account of such Manager’s designee, at DTC in return for payments in same day funds delivered to the account designated by the Company. If the Company or its transfer agent (if applicable) shall default on its obligation to deliver the Shares on any Settlement Date, the Company shall (A) indemnify and hold such Manager harmless against any loss, claim or damage (including reasonable legal fees and expenses) arising from or as a result of such default by the Company and (B) pay such Manager any commission to which it would otherwise be entitled absent such default. If a Manager acting as sales agent hereunder breaches this Agreement by failing to deliver the Net Proceeds less any Transaction Fees to the Company on any Settlement Date for the Shares delivered by the Company to such Manager, such Manager will pay the Company interest based on the effective overnight federal funds rate on such unpaid amount less any compensation due to such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At each Applicable Time, each Settlement Date and each Representation Date, the Company shall be deemed to have affirmed each representation and warranty contained in this Agreement as if such representation and warranty were made as of such date, but modified as necessary to conform to, and incorporate the disclosures and information contained in, the Registration Statement, the Prospectus and the documents incorporated by reference therein, in each case as amended or supplemented as of such date. Any obligation of a Manager to use its commercially reasonable efforts to sell the Shares on behalf of the Company shall be subject to the continuing accuracy of the representations and warranties of the Company herein (as modified in the manner described above), to the performance by the Company of its obligations hereunder and to the continuing satisfaction of the additional conditions specified in Section 6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Limitations on Number and Amount of Shares Sold.</w:t>
      </w:r>
      <w:r>
        <w:rPr>
          <w:rFonts w:ascii="Times New Roman;Times;Serif" w:hAnsi="Times New Roman;Times;Serif"/>
          <w:b w:val="false"/>
          <w:i w:val="false"/>
          <w:caps w:val="false"/>
          <w:smallCaps w:val="false"/>
          <w:sz w:val="20"/>
        </w:rPr>
        <w:t xml:space="preserve"> Under no circumstances shall the number and aggregate amount of Shares sold pursuant to this Agreement exceed (i) $100,000,000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(ii) the number of shares of Class C Common Stock available for issuance under the currently effective Registration Statement or (iii) the number and aggregate amount of Shares authorized from time to time to be issued and sold under this Agreement by the Board, or a duly authorized committee or authorized individual thereof, and notified to such Manager in writing. Under no circumstances shall the price of the Shares sold pursuant to this Agreement be lower than the minimum price authorized from time to time to be issued and sold under this Agreement by the Board, or a duly authorized committee or authorized individual thereof, and notified to such Manager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Regulation M Exemption.</w:t>
      </w:r>
      <w:r>
        <w:rPr>
          <w:rFonts w:ascii="Times New Roman;Times;Serif" w:hAnsi="Times New Roman;Times;Serif"/>
          <w:b w:val="false"/>
          <w:i w:val="false"/>
          <w:caps w:val="false"/>
          <w:smallCaps w:val="false"/>
          <w:sz w:val="20"/>
        </w:rPr>
        <w:t xml:space="preserve"> If any party hereto has reason to believe that the exemptive provisions set forth in Rule 101(c)(1) of Regulation M under the Exchange Act are not satisfied with respect to the Shares, it shall promptly notify the other parties and sales of the Shares under this Agreement shall be suspended until that or other exemptive provisions have been satisfied in the judgment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Material Non-Public Information</w:t>
      </w:r>
      <w:r>
        <w:rPr>
          <w:rFonts w:ascii="Times New Roman;Times;Serif" w:hAnsi="Times New Roman;Times;Serif"/>
          <w:b w:val="false"/>
          <w:i w:val="false"/>
          <w:caps w:val="false"/>
          <w:smallCaps w:val="false"/>
          <w:sz w:val="20"/>
        </w:rPr>
        <w:t>. Notwithstanding any other provision of this Agreement, (i) no sales of Shares shall take place, and the Company shall not request the sales of any Shares during any period in which the Company is in possession of material non-public information, and (ii) except as may be mutually agreed upon by the Company and the applicable Manager that is requested to make any such sale, the Company shall not offer, sell or deliver, or request the offer or sale, of any Shares pursuant to this Agreement and, by notice to the Managers given by telephone (confirmed promptly by email), shall cancel any instructions for the offer or sale of any Shares, and the Manager shall not be obligated to offer or sell any Shares at any time from and including the date two weeks prior to the date on which the Company shall issue a press release containing, or shall otherwise publicly announce, its earnings, revenues or other results of operations (an “</w:t>
      </w:r>
      <w:r>
        <w:rPr>
          <w:rFonts w:ascii="Times New Roman;Times;Serif" w:hAnsi="Times New Roman;Times;Serif"/>
          <w:b w:val="false"/>
          <w:i w:val="false"/>
          <w:caps w:val="false"/>
          <w:smallCaps w:val="false"/>
          <w:sz w:val="20"/>
          <w:u w:val="single"/>
        </w:rPr>
        <w:t>Earnings Announcement</w:t>
      </w:r>
      <w:r>
        <w:rPr>
          <w:rFonts w:ascii="Times New Roman;Times;Serif" w:hAnsi="Times New Roman;Times;Serif"/>
          <w:b w:val="false"/>
          <w:i w:val="false"/>
          <w:caps w:val="false"/>
          <w:smallCaps w:val="false"/>
          <w:sz w:val="20"/>
        </w:rPr>
        <w:t>”) through and including the time that is 24 hours after the time that the Company files a Quarterly Report on Form 10-Q or an Annual Report on Form 10-K that includes consolidated financial statements as of and for the same period or periods, as the case may be, covered by such Earnings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4.              </w:t>
      </w:r>
      <w:r>
        <w:rPr>
          <w:rFonts w:ascii="Times New Roman;Times;Serif" w:hAnsi="Times New Roman;Times;Serif"/>
          <w:b w:val="false"/>
          <w:i w:val="false"/>
          <w:caps w:val="false"/>
          <w:smallCaps w:val="false"/>
          <w:sz w:val="20"/>
          <w:u w:val="single"/>
        </w:rPr>
        <w:t>Agreements</w:t>
      </w:r>
      <w:r>
        <w:rPr>
          <w:rFonts w:ascii="Times New Roman;Times;Serif" w:hAnsi="Times New Roman;Times;Serif"/>
          <w:b w:val="false"/>
          <w:i w:val="false"/>
          <w:caps w:val="false"/>
          <w:smallCaps w:val="false"/>
          <w:sz w:val="20"/>
        </w:rPr>
        <w:t>. The Company Parties, jointly and severally, covenant and agree with each Manager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Filing of Amendment or Supplement.</w:t>
      </w:r>
      <w:r>
        <w:rPr>
          <w:rFonts w:ascii="Times New Roman;Times;Serif" w:hAnsi="Times New Roman;Times;Serif"/>
          <w:b w:val="false"/>
          <w:i w:val="false"/>
          <w:caps w:val="false"/>
          <w:smallCaps w:val="false"/>
          <w:sz w:val="20"/>
        </w:rPr>
        <w:t xml:space="preserve"> During any period when the delivery of a prospectus relating to the Shares is required (including in circumstances where such requirement may be satisfied pursuant to Rule 172 or any similar rule) to be delivered under the Act, the Company will not file any (i) amendment to the Registration Statement, or (ii) supplement to the Prospectus (other than any amendment or supplement which does not relate to the sale of the Shares and not including any reports or documents and any preliminary or definitive proxy or information statement required to be filed by the Company with the Commission in order to comply with the Exchange Act), unless the Company has furnished to the Managers a copy for its review prior to filing and will not file any such proposed amendment, supplement or Registration Statement to which any Manager reasonably objects, unless the Company shall have determined based upon the advice of counsel that such amendment, supplement or filing is required by law. The Company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satisfactory to the Managers of such timely filing. The Company will promptly advise each Manager (i) when the Prospectus, and any supplement thereto, shall have been filed (if required) with the Commission pursuant to Rule 424(b), (ii) when, during any period when the delivery of a prospectus (whether physically, deemed to be delivered pursuant to Rule 153 or through compliance with Rule 172 or any similar rule) is required under the Act in connection with the offering or sale of the Shares, any amendment to the Registration Statement shall have been filed or become effective,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of the Act, (v) of any mandatory or voluntary suspension of sales under the Registration Statement relating to the Company’s eligibility to use Form S-3 and (vi) of the receipt by the Company of any notification with respect to the suspension of the qualification of the Shares for sale in any jurisdiction or the institution or threatening of any proceeding for such purpose. The Company will use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commercially reasonable efforts to have such amendment or new registration statement declared effective as soon as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Notice of Material Changes.</w:t>
      </w:r>
      <w:r>
        <w:rPr>
          <w:rFonts w:ascii="Times New Roman;Times;Serif" w:hAnsi="Times New Roman;Times;Serif"/>
          <w:b w:val="false"/>
          <w:i w:val="false"/>
          <w:caps w:val="false"/>
          <w:smallCaps w:val="false"/>
          <w:sz w:val="20"/>
        </w:rPr>
        <w:t xml:space="preserve"> If, at any time on or after an Applicable Time but prior to the related Settlement Date, any event occurs as a result of which the Registration Statement or Prospectus would include any untrue statement of a material fact or omit to state any material fact necessary to make the statements therein in the light of the circumstances under which they were made or the circumstances then prevailing not misleading, the Company will (i) notify promptly each Manager so that any use of the Registration Statement and Prospectus may cease until it is amended or supplemented; (ii) amend or supplement the Registration Statement and Prospectus to correct such statement or omission; and (iii) supply any amendment or supplement to each Manager in such quantities as such Manager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Amendment of Registration Statement or Supplement of Prospectus.</w:t>
      </w:r>
      <w:r>
        <w:rPr>
          <w:rFonts w:ascii="Times New Roman;Times;Serif" w:hAnsi="Times New Roman;Times;Serif"/>
          <w:b w:val="false"/>
          <w:i w:val="false"/>
          <w:caps w:val="false"/>
          <w:smallCaps w:val="false"/>
          <w:sz w:val="20"/>
        </w:rPr>
        <w:t xml:space="preserve"> During any period when the delivery of a prospectus relating to the Shares is required (including in circumstances where such requirement may be satisfied pursuant to Rule 172 or any similar rule) to be delivered under the Act,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each Manager of any such event; (ii) prepare and file with the Commission, subject to the first sentence of Section 4(a), an amendment or supplement or new registration statement which will correct such statement or omission or effect such compliance; (iii) use commercially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Reports to Securityholders</w:t>
      </w:r>
      <w:r>
        <w:rPr>
          <w:rFonts w:ascii="Times New Roman;Times;Serif" w:hAnsi="Times New Roman;Times;Serif"/>
          <w:b w:val="false"/>
          <w:i w:val="false"/>
          <w:caps w:val="false"/>
          <w:smallCaps w:val="false"/>
          <w:sz w:val="20"/>
        </w:rPr>
        <w:t>. In accordance with Section 11(a) of the Act and Rule 158, the Company will make generally available to its securityholders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Signed Copies of the Registration Statement and Copies of the Prospectus</w:t>
      </w:r>
      <w:r>
        <w:rPr>
          <w:rFonts w:ascii="Times New Roman;Times;Serif" w:hAnsi="Times New Roman;Times;Serif"/>
          <w:b w:val="false"/>
          <w:i w:val="false"/>
          <w:caps w:val="false"/>
          <w:smallCaps w:val="false"/>
          <w:sz w:val="20"/>
        </w:rPr>
        <w:t>. The Company will furnish to each Manager and counsel for the Managers, upon request and without charge, copies of the executed Registration Statement (including exhibits thereto) and, so long as delivery of a prospectus by such Manager or dealer may be required by the Act (including in circumstances where such requirement may be satisfied pursuant to Rule 172 or any similar rule), as many copies of the Prospectus and any supplement thereto as such Manager may reasonably request. The Company will pay the expenses of printing or other production of all documents relating to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Qualification of the Shares in Certain Jurisdictions</w:t>
      </w:r>
      <w:r>
        <w:rPr>
          <w:rFonts w:ascii="Times New Roman;Times;Serif" w:hAnsi="Times New Roman;Times;Serif"/>
          <w:b w:val="false"/>
          <w:i w:val="false"/>
          <w:caps w:val="false"/>
          <w:smallCaps w:val="false"/>
          <w:sz w:val="20"/>
        </w:rPr>
        <w:t xml:space="preserve">. The Company will arrange, if necessary, for the qualification of the Shares for sale under the laws of such jurisdictions as the Managers may designate and will maintain such qualifications in effect so long as required for the distribution of the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No Issuer Free Writing Prospectus.</w:t>
      </w:r>
      <w:r>
        <w:rPr>
          <w:rFonts w:ascii="Times New Roman;Times;Serif" w:hAnsi="Times New Roman;Times;Serif"/>
          <w:b w:val="false"/>
          <w:i w:val="false"/>
          <w:caps w:val="false"/>
          <w:smallCaps w:val="false"/>
          <w:sz w:val="20"/>
        </w:rPr>
        <w:t xml:space="preserve"> Each of the Company and the Managers agree that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Limitations on Sale of Class C Common Stock.</w:t>
      </w:r>
      <w:r>
        <w:rPr>
          <w:rFonts w:ascii="Times New Roman;Times;Serif" w:hAnsi="Times New Roman;Times;Serif"/>
          <w:b w:val="false"/>
          <w:i w:val="false"/>
          <w:caps w:val="false"/>
          <w:smallCaps w:val="false"/>
          <w:sz w:val="20"/>
        </w:rPr>
        <w:t xml:space="preserve"> If sales of the Shares have been made but not settled, or the Company has had outstanding with the Managers any instructions to sell the Shares, in either case, within the prior three Business Days, the Company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(other than a registration statement on Form S-8 or post-effective amendment to the Registration Statement) in respect of, or establish or increase a put equivalent position or liquidate or decrease a call equivalent position within the meaning of Section 16 of the Exchange Act, any other shares of Class C Common Stock or any securities convertible into, or exercisable, or exchangeable for, Class C Common Stock, or publicly announce an intention to effect any such transaction without (i) giving such Manager at least one Business Day’s prior written notice specifying the nature of the proposed transaction and the date of such proposed transaction and (ii) such Manager suspending acting under this Agreement for such period of time requested by the Company or as deemed appropriate by such Manager in light of the proposed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the Company may issue and sell Class C Common Stock pursuant to this Agreement, (ii) the Company may issue and sell Class C Common Stock pursuant to any employee benefit plan of the Company, (iii) the Company may issue Class C Common Stock pursuant to any employee stock option plan, stock ownership plan or dividend reinvestment plan of the Company, (iv) the Company may issue Class C Common Stock issuable upon the conversion of securities or the exercise of warrants outstanding at the Execution Time and (v) the Company may issue shares to affiliates as full or partial consideration for any transfer, sale or contribution of assets or equity interests to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Market Stabilization.</w:t>
      </w:r>
      <w:r>
        <w:rPr>
          <w:rFonts w:ascii="Times New Roman;Times;Serif" w:hAnsi="Times New Roman;Times;Serif"/>
          <w:b w:val="false"/>
          <w:i w:val="false"/>
          <w:caps w:val="false"/>
          <w:smallCaps w:val="false"/>
          <w:sz w:val="20"/>
        </w:rPr>
        <w:t xml:space="preserve"> The Company will not (i) take, directly or indirectly, any action designed to or that would constitute or that might reasonably be expected to cause or result in, under the Exchange Act or otherwise, stabilization or manipulation of the price of Class C Common Stock to facilitate the sale or resale of the Shares or (ii) sell, bid for, purchase or pay any person (other than as contemplated by this Agreement) any compensation for soliciting purchases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Notifications to Managers.</w:t>
      </w:r>
      <w:r>
        <w:rPr>
          <w:rFonts w:ascii="Times New Roman;Times;Serif" w:hAnsi="Times New Roman;Times;Serif"/>
          <w:b w:val="false"/>
          <w:i w:val="false"/>
          <w:caps w:val="false"/>
          <w:smallCaps w:val="false"/>
          <w:sz w:val="20"/>
        </w:rPr>
        <w:t xml:space="preserve"> The Company will, at any time during the term of this Agreement, as supplemented from time to time, advise the Managers immediately after it shall have received notice or obtained knowledge thereof, of any information or fact that would alter or affect any opinion, certificate, letter and other document provided to the Managers pursuant to Section 6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Certificates</w:t>
      </w:r>
      <w:r>
        <w:rPr>
          <w:rFonts w:ascii="Times New Roman;Times;Serif" w:hAnsi="Times New Roman;Times;Serif"/>
          <w:b w:val="false"/>
          <w:i w:val="false"/>
          <w:caps w:val="false"/>
          <w:smallCaps w:val="false"/>
          <w:sz w:val="20"/>
        </w:rPr>
        <w:t>. Upon commencement of the offering of the Shares under this Agreement (and upon the recommencement of the offering of the Shares under this Agreement following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any prospectus supplement filed pursuant to Rule 424(b) pursuant to Section 4(a) hereof or a prospectus supplement relating solely to the offering of securities other than the Shares), (ii) the Company shall file an Annual Report on Form 10-K or a Quarterly Report on Form 10-Q, (iii) there is filed with the Commission any document (other than an Annual Report on Form 10-K or a Quarterly Report on Form 10-Q), which contains financial information required under Regulation S-X or financial information filed with the Commission on Form 8-K under Item 9.01 or (iv) otherwise as any Manager may reasonably request (such commencement or recommencement date and each such date referred to in subsection (i), (ii), (iii) and (iv) herein, excluding any date occurring during the suspension of sales hereunder, each a “</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 the Company shall furnish or cause to be furnished to any Manager forthwith a certificate within two (2) Trading Days of the Representation Date, in form satisfactory to the Managers to the effect that the statements contained in the certificate referred to in Section 6(e) hereof which were last furnished to the Managers are true and correct as of such Representation Date, as though made at and as of such time (except that such certificate shall state that such statements (including with respect to the representations and warranties contained herein) shall be deemed modified to incorporate the disclosures and information contained in the Registration Statement, the Prospectus and the documents incorporated by reference therein, in each case as amended or supplemented as of such date) or, in lieu of such certificate, a certificate of the same tenor as the certificate referred to in said Section 6(e), modified as described immediately above to the time of delivery of such certificate. Notwithstanding the foregoing, if the Company subsequently decides to sell the Shares following a Representation Date when the Company relied on such waiver and did not provide the Managers with a certificate under this Section 4(k), then before the Company delivers the Placement Notice or the Managers sell any Shares, the Company shall provide the Managers with a certificate under this Section 4(k), dated the date of the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Opinion and 10b-5 Statement of Company Counsel.</w:t>
      </w:r>
      <w:r>
        <w:rPr>
          <w:rFonts w:ascii="Times New Roman;Times;Serif" w:hAnsi="Times New Roman;Times;Serif"/>
          <w:b w:val="false"/>
          <w:i w:val="false"/>
          <w:caps w:val="false"/>
          <w:smallCaps w:val="false"/>
          <w:sz w:val="20"/>
        </w:rPr>
        <w:t xml:space="preserve"> Within two (2) Trading Days of each Representation Date, the Company shall furnish or cause to be furnished forthwith to the Managers and to counsel to the Managers a written opinion and 10b-5 Statement of Baker Botts L.L.P., counsel to the Company (“</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dated as of the date that the opinion is delivered, in form and substance satisfactory to the Managers, but modified as necessary to relate to the Registration Statement and the Prospectus as amended and supplemented to the time of delivery of such opinion. Notwithstanding the foregoing, with the consent of the Managers, in lieu of delivering such an opinion and 10b-5 Statement for dates subsequent to the commencement of the offering of the Shares under this Agreement, such Company Counsel may furnish the Managers with a letter, in form and substance satisfactory to the Managers, to the effect that the Managers may rely on a prior opinion and 10b-5 Statement delivered under this Section 4(l) to the same extent as if it were dated the date of such letter (except that statements in such prior opinion shall be deemed to relate to the Registration Statement and the Prospectus as amended or supplemented as of such subsequent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Opinion of Company Regulatory Counsel.</w:t>
      </w:r>
      <w:r>
        <w:rPr>
          <w:rFonts w:ascii="Times New Roman;Times;Serif" w:hAnsi="Times New Roman;Times;Serif"/>
          <w:b w:val="false"/>
          <w:i w:val="false"/>
          <w:caps w:val="false"/>
          <w:smallCaps w:val="false"/>
          <w:sz w:val="20"/>
        </w:rPr>
        <w:t xml:space="preserve"> Within two (2) Trading Days of each Representation Date, the Company shall furnish or cause to be furnished forthwith to the Managers and to counsel to the Managers a written opinion of McDermott Will &amp; Schulte LLP, counsel to the Company (“</w:t>
      </w:r>
      <w:r>
        <w:rPr>
          <w:rFonts w:ascii="Times New Roman;Times;Serif" w:hAnsi="Times New Roman;Times;Serif"/>
          <w:b w:val="false"/>
          <w:i w:val="false"/>
          <w:caps w:val="false"/>
          <w:smallCaps w:val="false"/>
          <w:sz w:val="20"/>
          <w:u w:val="single"/>
        </w:rPr>
        <w:t>Company Regulatory Counsel</w:t>
      </w:r>
      <w:r>
        <w:rPr>
          <w:rFonts w:ascii="Times New Roman;Times;Serif" w:hAnsi="Times New Roman;Times;Serif"/>
          <w:b w:val="false"/>
          <w:i w:val="false"/>
          <w:caps w:val="false"/>
          <w:smallCaps w:val="false"/>
          <w:sz w:val="20"/>
        </w:rPr>
        <w:t>”), dated as of the date that the opinion is delivered, in form and substance satisfactory to the Managers, but modified as necessary to relate to the Registration Statement and the Prospectus as amended and supplemented to the time of delivery of such opinion. Notwithstanding the foregoing, with the consent of the Managers, in lieu of delivering such an opinion for dates subsequent to the commencement of the offering of the Shares under this Agreement, such Company Regulatory Counsel may furnish the Managers with a letter, in form and substance satisfactory to the Managers, to the effect that the Managers may rely on a prior opinion delivered under this Section 4(m) to the same extent as if it were dated the date of such letter (except that statements in such prior opinion shall be deemed to relate to the Registration Statement and the Prospectus as amended or supplemented as of such subsequent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Opinion and 10b-5 Statement of Managers’ Counsel.</w:t>
      </w:r>
      <w:r>
        <w:rPr>
          <w:rFonts w:ascii="Times New Roman;Times;Serif" w:hAnsi="Times New Roman;Times;Serif"/>
          <w:b w:val="false"/>
          <w:i w:val="false"/>
          <w:caps w:val="false"/>
          <w:smallCaps w:val="false"/>
          <w:sz w:val="20"/>
        </w:rPr>
        <w:t xml:space="preserve"> Within two (2) Trading Days of each Representation Date, Latham &amp; Watkins LLP, counsel to the Managers, shall deliver a written opinion and 10b-5 Statement, dated as of the date that the opinion is delivered, in form and substance satisfactory to the Managers, of the same tenor as the opinion referred to in Section 6(d) of this Agreement but modified as necessary to relate to the Registration Statement and the Prospectus as amended and supplemented to the time of delivery of such opinion. Notwithstanding the foregoing, with the consent of the Managers, in lieu of delivering such an opinion and 10b-5 Statement for dates subsequent to the commencement of the offering of the Shares under this Agreement, Latham &amp; Watkins LLP may furnish the Managers with a letter, in form and substance satisfactory to the Managers, to the effect that the Managers may rely on a prior opinion and 10b-5 Statement delivered under this Section 4(n) to the same extent as if it were dated the date of such letter (except that statements in such prior opinion shall be deemed to relate to the Registration Statement and the Prospectus as amended or supplemented as of such subsequent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Letters of Independent Accountants</w:t>
      </w:r>
      <w:r>
        <w:rPr>
          <w:rFonts w:ascii="Times New Roman;Times;Serif" w:hAnsi="Times New Roman;Times;Serif"/>
          <w:b w:val="false"/>
          <w:i w:val="false"/>
          <w:caps w:val="false"/>
          <w:smallCaps w:val="false"/>
          <w:sz w:val="20"/>
        </w:rPr>
        <w:t>. Upon commencement of the offering of the Shares under this Agreement (and upon the recommencement of the offering of the Shares under this Agreement following the termination of a suspension of sales as contemplated herein), and within two (2) Trading Days of each time, excluding any date occurring during the suspension of sales hereunder, that (i) the Registration Statement or the Prospectus shall be amended or supplemented to include additional or amended financial information, (ii) the Company files a Quarterly Report on Form 10-Q or an Annual Report on Form 10-K, or (iii) at any Manager’s request and upon reasonable advance notice to the Company, there is filed with the Commission any document which contains financial information (other than a Quarterly Report on Form 10-Q or an Annual Report on Form 10- K) incorporated by reference into the Prospectus, the Company shall cause Ernst &amp; Young LLP, PricewaterhouseCoopers LLP, or other independent accountants satisfactory to the Managers forthwith, to furnish such Manager(s) with letters, each dated the date that the letter is delivered, in form and substance satisfactory to such Manager(s), to the effect of the letters referred to in Section 6(f) of this Agreement but modified to relate to the Registration Statement and the Prospectus, as amended and supplemented to the date of such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Due Diligence.</w:t>
      </w:r>
      <w:r>
        <w:rPr>
          <w:rFonts w:ascii="Times New Roman;Times;Serif" w:hAnsi="Times New Roman;Times;Serif"/>
          <w:b w:val="false"/>
          <w:i w:val="false"/>
          <w:caps w:val="false"/>
          <w:smallCaps w:val="false"/>
          <w:sz w:val="20"/>
        </w:rPr>
        <w:t xml:space="preserve"> Within two (2) Trading Days of each Representation Date, if requested by the Managers, the Company will conduct a due diligence session, in form and substance satisfactory to the Managers, which shall include representatives of the management and the independent accountants of the Company. Furthermore, in the event that the Company requests the Manager to sell on any one Trading Day an amount of Shares that would be equal to or greater than 15% of the average daily trading volume (calculated based on the most recent three completed Trading Days) of the Company’s Class C Common Stock, if requested by the Manager, the Company will conduct a due diligence call, in form and substance satisfactory to the Managers, which shall include representatives of the management and the independent accountants of the Company and that the Company shall provide the certificate referred to in Section 4(k) of the Agreement. The Company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 officers and the Company’s agents during regular business hours and at the Company’s principal offices, and timely furnishing or causing to be furnished such certificates, letters and opinions from the Company, its officers and its agents, as the Managers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Managers Trading.</w:t>
      </w:r>
      <w:r>
        <w:rPr>
          <w:rFonts w:ascii="Times New Roman;Times;Serif" w:hAnsi="Times New Roman;Times;Serif"/>
          <w:b w:val="false"/>
          <w:i w:val="false"/>
          <w:caps w:val="false"/>
          <w:smallCaps w:val="false"/>
          <w:sz w:val="20"/>
        </w:rPr>
        <w:t xml:space="preserve"> The Company consents to the Managers trading in Class C Common Stock for their own accounts and for the account of their clients at the same time as sales of the Shares occur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Disclosures in Periodic Reports.</w:t>
      </w:r>
      <w:r>
        <w:rPr>
          <w:rFonts w:ascii="Times New Roman;Times;Serif" w:hAnsi="Times New Roman;Times;Serif"/>
          <w:b w:val="false"/>
          <w:i w:val="false"/>
          <w:caps w:val="false"/>
          <w:smallCaps w:val="false"/>
          <w:sz w:val="20"/>
        </w:rPr>
        <w:t xml:space="preserve"> The Company will disclose in its Annual Reports on Form 10-K and Quarterly Reports on Form 10-Q, as applicable, the number of Shares sold through the Managers under this Agreement, the Net Proceeds to the Company and the compensation paid by the Company with respect to sales of Shares pursuant to this Agreement during the relevant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Failure of Certain Conditions</w:t>
      </w:r>
      <w:r>
        <w:rPr>
          <w:rFonts w:ascii="Times New Roman;Times;Serif" w:hAnsi="Times New Roman;Times;Serif"/>
          <w:b w:val="false"/>
          <w:i w:val="false"/>
          <w:caps w:val="false"/>
          <w:smallCaps w:val="false"/>
          <w:sz w:val="20"/>
        </w:rPr>
        <w:t>. If, to the knowledge of the Company, the conditions set forth in Section 6 (other than the conditions set forth in Sections 6(b), 6(c), 6(d), 6(f), 6(j) or 6(k)) shall not be true and correct on the applicable Settlement Date, the Company will offer to any person who has agreed to purchase Shares from the Company as the result of an offer to purchase solicited by any Manager the right to refuse to purchase and pay for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Acceptance of Offer to Purchase</w:t>
      </w:r>
      <w:r>
        <w:rPr>
          <w:rFonts w:ascii="Times New Roman;Times;Serif" w:hAnsi="Times New Roman;Times;Serif"/>
          <w:b w:val="false"/>
          <w:i w:val="false"/>
          <w:caps w:val="false"/>
          <w:smallCaps w:val="false"/>
          <w:sz w:val="20"/>
        </w:rPr>
        <w:t>. Each acceptance by the Company of an offer to purchase the Shares hereunder shall be deemed to be an affirmation to each Manager that the representations and warranties of the Company contained in or made pursuant to this Agreement are true and correct as of the date of such acceptance as though made at and as of such date, and an undertaking that such representations and warranties will be true and correct as of the Settlement Date for the Shares relating to such acceptance or as of the Applicable Time relating to such sale, as the case may be, as though made at and as of such date (except that such representations and warranties shall be deemed modified to relate to the Registration Statement, the Prospectus and the documents incorporated by reference therein, in each case as amended or supplemented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New Shelf Registration Statement</w:t>
      </w:r>
      <w:r>
        <w:rPr>
          <w:rFonts w:ascii="Times New Roman;Times;Serif" w:hAnsi="Times New Roman;Times;Serif"/>
          <w:b w:val="false"/>
          <w:i w:val="false"/>
          <w:caps w:val="false"/>
          <w:smallCaps w:val="false"/>
          <w:sz w:val="20"/>
        </w:rPr>
        <w:t>. If the third anniversary of the initial effective date of the Registration Statement occurs before all the Shares have been sold, prior to such third anniversary, the Company will file, subject to Section 4(a), a new shelf registration statement and take any other action necessary to permit the public offering of the Shares to continue without interruption.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Preemptive Rights</w:t>
      </w:r>
      <w:r>
        <w:rPr>
          <w:rFonts w:ascii="Times New Roman;Times;Serif" w:hAnsi="Times New Roman;Times;Serif"/>
          <w:b w:val="false"/>
          <w:i w:val="false"/>
          <w:caps w:val="false"/>
          <w:smallCaps w:val="false"/>
          <w:sz w:val="20"/>
        </w:rPr>
        <w:t>. The Company will reserve and keep available at all times, free of preemptive rights, Shares for the purpose of enabling the Company to satisfy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rPr>
        <w:t>NYSE Listing</w:t>
      </w:r>
      <w:r>
        <w:rPr>
          <w:rFonts w:ascii="Times New Roman;Times;Serif" w:hAnsi="Times New Roman;Times;Serif"/>
          <w:b w:val="false"/>
          <w:i w:val="false"/>
          <w:caps w:val="false"/>
          <w:smallCaps w:val="false"/>
          <w:sz w:val="20"/>
        </w:rPr>
        <w:t>. The Company will use its commercially reasonable efforts to cause the Shares to be listed for trading on the NYSE and to maintain such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caps w:val="false"/>
          <w:smallCaps w:val="false"/>
          <w:sz w:val="20"/>
        </w:rPr>
        <w:t>Delivery of Prospectus</w:t>
      </w:r>
      <w:r>
        <w:rPr>
          <w:rFonts w:ascii="Times New Roman;Times;Serif" w:hAnsi="Times New Roman;Times;Serif"/>
          <w:b w:val="false"/>
          <w:i w:val="false"/>
          <w:caps w:val="false"/>
          <w:smallCaps w:val="false"/>
          <w:sz w:val="20"/>
        </w:rPr>
        <w:t>. During any period when the delivery of a prospectus relating to the Shares is required (including in circumstances where such requirement may be satisfied pursuant to Rule 172 or any similar rule) to be delivered under the Act, the Company will file all documents required to be filed with the Commission pursuant to the Exchange Act within the time periods required by the Exchange Act and the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xml:space="preserve"> The Company shall cooperate with the Managers and use its reasonable efforts to permit the Shares to be eligible for clearance and settlement through the facilities of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xml:space="preserve"> The Company will apply the Net Proceeds from the sale of the Shares in the manner set forth in the Prospectus under the heading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5.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Each of the Company Parties agrees to pay the reasonable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and the Prospectus and any amendment or supplement thereto; (ii) the printing (or reproduction) and delivery (including postage, air freight charges and charges for counting and packaging) of such copies of the Registration Statement and the Prospectus and any amendment or supplement thereto,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and resale of the Shares; (iv) the printing (or reproduction) and delivery of this Agreement, any blue sky memorandum and all other agreements or documents printed (or reproduced) and delivered in connection with the offering of the Shares; (v) the registration of the Shares under the Act and the listing of the Shares on the NYSE; (vi) any registration or qualification of the Shares for offer and sale under the securities or blue sky laws of the several states (including filing fees and the reasonable fees and expenses of counsel for the Managers in an amount not to exceed $15,000 relating to such registration and qualification); (vii) any filings required to be made with FINRA (including filing fees and the reasonable fees and expenses of counsel for the Managers in an amount not to exceed $30,000 relating to such filings); (viii) the fees and expenses of the Company’s accountants and the fees and expenses of counsel (including local and special counsel) for the Company and the reasonable fees and expenses of counsel for the Managers (which shall be one outside counsel for all the Managers unless otherwise agreed by the Company); (ix) the costs and charges of any transfer agent or registrar; and (x) all other costs and expenses incident to the performance by the Company Parties of its respective obligations hereunder; provided, however, that transportation and other expenses incurred by or on behalf of the Managers in connection with presentations to prospective purchasers of the Shares will be paid solely by the Managers. It is understood, however, that except as provided in this Section and Sections 3(a)(v) and 7 hereof, each Manager will pay all of its own out-of-pocket costs and expenses incurred in connection with entering into this Agreement and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6.              </w:t>
      </w:r>
      <w:r>
        <w:rPr>
          <w:rFonts w:ascii="Times New Roman;Times;Serif" w:hAnsi="Times New Roman;Times;Serif"/>
          <w:b w:val="false"/>
          <w:i w:val="false"/>
          <w:caps w:val="false"/>
          <w:smallCaps w:val="false"/>
          <w:sz w:val="20"/>
          <w:u w:val="single"/>
        </w:rPr>
        <w:t>Conditions to the Obligations of the Managers</w:t>
      </w:r>
      <w:r>
        <w:rPr>
          <w:rFonts w:ascii="Times New Roman;Times;Serif" w:hAnsi="Times New Roman;Times;Serif"/>
          <w:b w:val="false"/>
          <w:i w:val="false"/>
          <w:caps w:val="false"/>
          <w:smallCaps w:val="false"/>
          <w:sz w:val="20"/>
        </w:rPr>
        <w:t>. The obligations of the Managers under this Agreement shall be subject to (i) the accuracy of the representations and warranties on the part of the Company Parties contained herein as of the Execution Time, each Representation Date, and as of each Applicable Time and Settlement Date (as such representations and warranties shall be deemed modified in the manner set forth in Section 3(a)(viii)), (ii) the performance by each of the Company Parties of its respective obligations hereunder, and (iii)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Prospectus, and any supplement thereto, required by Rule 424 to be filed with the Commission have been filed in the manner and within the time period required by Rule 424(b) with respect to any sale of Shares; and no stop order suspending the effectiveness of the Registration Statement or any notice objecting to its use shall have been issued and no proceedings for that purpose or pursuant to Section 8A of the Act shall have been instituted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requested and caused Company Counsel, or such other counsel as is acceptable to the Company and the Managers, to furnish to the Managers, within two (2) Trading Days of every Representation Date, their opinions dated as of the date such opinions are delivered, in form and substance satisfactory to the Managers (or with consent of the Managers, in lieu of any such opinion for dates subsequent to the commencement of the offering of the Shares under this Agreement, a letter, in form and substance satisfactory to the Managers, from such counsel to the effect that the Managers may rely on a prior opinion delivered under Section 4(l) to the same extent as if it were dated the date of such letter (except that statements in such prior opinion shall be deemed to relate to the Registration Statement and the Prospectus as amended or supplemented as of such subsequent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requested and caused Company Regulatory Counsel, or such other counsel as is acceptable to the Company and the Managers, to furnish to the Managers, within two (2) Trading Days of every Representation Date, their opinions dated as of the date such opinions are delivered, in form and substance satisfactory to the Managers (or with consent of the Managers, in lieu of any such opinion for dates subsequent to the commencement of the offering of the Shares under this Agreement, a letter, in form and substance satisfactory to the Managers, from such counsel to the effect that the Managers may rely on a prior opinion delivered under Section 4(m) to the same extent as if it were dated the date of such letter (except that statements in such prior opinion shall be deemed to relate to the Registration Statement and the Prospectus as amended or supplemented as of such subsequent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Manager shall have received from Latham &amp; Watkins LLP, counsel for the Managers, or such other counsel as is acceptable to the Company and the Managers, within two (2) Trading Days of every Representation Date, its opinion, in form and substance satisfactory to the Managers (or with consent of the Managers, in lieu of any such opinion for dates subsequent to the commencement of the offering of the Shares under this Agreement, a letter, in form and substance satisfactory to the Managers, from such counsel to the effect that the Managers may rely on a prior opinion delivered under Section 4(n) to the same extent as if it were dated the date of such letter (except that statements in such prior opinion shall be deemed to relate to the Registration Statement and the Prospectus as amended or supplemented as of such subsequent date)), and the Company shall have furnished to such counsel such documents as they request for the purpose of enabling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furnished to each Manager, within two (2) Trading Days of every Representation Date, a certificate of the Company, signed on behalf of the Company by an executive officer, the Treasurer or the General Counsel of the Company, dated as of the date such certificate is delivered, to the effect that the signer of such certificate has carefully examined the Registration Statement and the Prospectus and any amendment or supplement thereto and this Agreement and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Company Parties in this Agreement that are not qualified by materiality are true and correct in all material respects and that the representations and warranties of the Company Parties in this Agreement that are qualified by materiality are true and correct in all respects, in each case, on and as of such date with the same effect as if made on such date and the Company Parties have complied in all material respects with all the agreements and satisfied in all material respects all the conditions on its part to be performed or satisfied at or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stop order suspending the effectiveness of the Registration Statement or any notice objecting to its use has been issued and no proceedings for that purpose have been instituted or, to the Company Parties’ knowledge, threatened;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since the date of the most recent financial statements included or incorporated by reference in the Prospectus, no event has occurred that had, or which may reasonably be expected to have, a Material Adverse Effect, except as set forth in or contemplated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have requested and caused Ernst &amp; Young LLP, PricewaterhouseCoopers LLP or other independent accountants satisfactory to the Managers, to have furnished to the Managers, on every date specified in Section 4(o) hereof, to the extent requested by such Manager(s) in connection with any offering of the Shares, and to the extent requested by such Manager(s) in connection with any updates to financials included or incorporated by reference in the Registration Statement, letters (which may refer to letters previously delivered to such Manager(s)), dated as of such date, in form and substance satisfactory to such Manager(s) containing statements and information of the type ordinarily included in accountants’ “comfort letters” to underwriters with respect to the financial statements and certain financial information contained in, or incorporated by reference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Between the Execution Time and each Applicable Time, there shall not have been (i) any change or decrease specified in the letter or letters referred to in paragraph (f) of this Section 6 or (ii) any change, or any development involving a prospective change, in or affecting the condition (financial or otherwise), earnings, business or properties of the Company Parties and their subsidiaries taken as a whole, whether or not arising from transactions in the ordinary course of business, except as set forth in or contemplated in the Prospectus (exclusive of any amendment or supplement thereto) the effect of which, in any case referred to in clause (ii) above, is, in the sole judgment of the Manager, so material and adverse as to make it impractical or inadvisable to proceed with the offering or delivery of the Shares as contemplated by the Registration Statement (exclusive of any amendment thereof) and the Prospectus (exclusive of any amendment or supplement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FINRA shall not have raised any objection with respect to the fairness and reasonableness of the terms and arrangements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Shares shall have been listed and admitted and authorized for trading on the NYSE, and satisfactory evidence of such actions shall have been provided to the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have furnished to the Managers within two (2) Trading Days of each Representation Date such further information, certificates and documents as such Manager(s)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requirements (i) to provide opinions and letters of counsel, the officer’s certificate and accountants’ letter specified in Sections 4(k), 4(l), 4(m), 4(n), 4(o), 4(p), 6(b), 6(c), 6(d), 6(e) and 6(f) and (ii) to furnish information, certificates or documents as any Manager may reasonably request in Section 6(j), shall be deemed waived for any Representation Date occurring at a time at which no instruction by the Company to any Manager to sell Class C Common Stock under this Agreement is in effect, which waiver shall continue until the earlier to occur of the date the Company delivers an instruction to any Manager to sell Class C Common Stock pursuant to Section 3(a) hereof (which for such calendar quarter shall be considered a Representation Date) and the next occurring Representation Date for which no such waiver is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may elect, in its sole discretion, to provide a certificate under Section 4(k) and thereby satisfy its obligations hereunder, notwithstanding the fact that no instruction by the Company to any Manager to sell Class C Common Stock under this Agreement is in effect. Notwithstanding the foregoing, if the Company subsequently decides to sell the Shares following a Representation Date when the Company relied on such waiver and did not provide the Managers with the requirements as discussed in this Section 6(k), then before the Company delivers the Placement Notice or the Managers sell any Shares, the Company shall provide the Managers each of the deliverables, dated the date of the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any Manager and counsel for the Managers, this Agreement, as it relates to such Manager, and all obligations of such Manager hereunder may be canceled at, or at any time prior to, any Settlement Date or Applicable Time, as applicable, by such Manager. Notice of such cancellation shall be given to the Company in writing or by telephone confirmed in writing. Notwithstanding any other provision of this Agreement, the Company shall not offer, sell or deliver, or request the offer or sale, of any Shares pursuant to this Agreement following any Representation Date until the Company has provided the Managers with the opinions and letters of counsel, the officers’ certificate and accountants’ letter specified in Sections 6(b), (c), (d), (e) and (f), hereof and afforded the Managers the opportunity to conduct a due diligence review in accordance with Section 6(j)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required to be delivered by this Section 6 shall be delivered at the office of Latham &amp; Watkins LLP, counsel for the Managers, at 1271 Avenue of the Americas, New York, New York 10020, or electronically if agreed to by the parties, on each such date as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7.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Parties agree, jointly and severally, to indemnify and hold harmless the Managers, the directors, officers, employees, affiliates and agents of the Managers and each person who controls any Manager within the meaning of either the Act or the Exchange Act against any and all losses, claims, damages, expenses or liabilities, joint or several, to which they or any of them may become subject under the Act, the Exchange Act or other federal or state statutory law or regulation, at common law or otherwise, insofar as such losses, claims, damages, expenses or liabilities (or actions in respect thereof) arise out of or are based upon any untrue statement or alleged untrue statement of a material fact contained in the Registration Statement, the Base Prospectus, the Prospectus Supplement, the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preparing for or defending any such loss, claim, damage, liability or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Parties will not be liable in any such case to the extent that any such loss, claim, damage, expense or liability arises out of or is based upon any such untrue statement or alleged untrue statement or omission or alleged omission made therein in reliance upon and in conformity with written information furnished to the Company Parties by or on behalf of the Managers specifically for inclusion therein, it being understood and agreed that the only such information furnished by or on behalf of the Managers consists of the information described as such in paragraph (b) below. This indemnity agreement will be in addition to any liability which the Company Parties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Managers, severally and not jointly, agree to indemnify and hold harmless the Company Parties, each of the Company Parties’ directors and officers who sign the Registration Statement, and each person who controls the Company Parties within the meaning of either the Act or the Exchange Act, to the same extent as the foregoing indemnity from the Company Parties to each Manager, but only with reference to written information relating to a Manager furnished to the Company Parties by or on behalf of such Manager specifically for inclusion in the documents referred to in the foregoing indemnity, which information consists only of the name of the Managers. This indemnity agreement will be in addition to any liability which any Manager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(ii) be liable for any settlement of such action without its written consent, except as otherwise permitted in the following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the indemnity provided in paragraph (a) or (b) of this Section 7 is unavailable to or insufficient to hold harmless an indemnified party for any reason, the Company Parties and each Manager agree to contribute to the aggregate losses, claims, damages and liabilities (including legal or other expenses reasonably incurred in connection with investigating or defending the same)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to which the Company Parties and the Managers may be subject in such proportion as is appropriate to reflect the relative fault of the Company Parties, on the one hand, and of the Managers, on the other, in connection with the statements or omissions which resulted in such Losses;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case shall the Managers be responsible for any amount in excess of the compensation to such Manager for sales of the Shares hereunder. For the avoidance of doubt, the obligation of each Manager to contribute pursuant to this Section 7(d) shall be several and not joint. If the allocation provided by the immediately preceding sentence is unavailable for any reason, the Company Parties and the Managers severally shall contribute in such relative proportions as is appropriate to reflect not only such relative fault but also the relative benefits received by the Company Parties, on the one hand, and by any Manager, on the other, in connection with the offering of the Shares as well as any other relevant equitable considerations. Benefits received by the Company Parties shall be deemed to be equal to the total net proceeds from the offering of the Shares purchased under this Agreement (before deducting expenses) received by the Company Parties, as determined by this Agreement, and benefits received by the Managers shall be deemed to be equal to the total compensation received by such Managers with respect to the Shares purchased under this Agreement, in each case as determined by this Agreement. Relative fault shall be determined by reference to, among other things, whether any untrue or any alleged untrue statement of a material fact or the omission or alleged omission to state a material fact relates to information provided by the Company Parties on the one hand or by or on behalf of the Managers on the other, the intent of the parties and their relative knowledge, access to information and opportunity to correct or prevent such untrue statement or omission. The Company Parties and each Manager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a Manager within the meaning of either the Act or the Exchange Act and each director, officer, employee and agent of a Manager shall have the same rights to contribution as any Manager, and each person who controls the Company Parties within the meaning of either the Act or the Exchange Act, each officer of the Company Parties, who shall have signed the Registration Statement and each director of the Company Parties shall have the same rights to contribution as the Company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Parties shall have the right, by giving written notice as hereinafter specified, to terminate the provisions of this Agreement, with respect to any or all of the Managers, relating to the solicitation of offers to purchase the Shares in its sole discretion at any time. Any such termination shall be without liability of any party to any other party except that (i) if Shares have been sold through any Manager for the Company, then Section 4(t) shall remain in full force and effect, (ii) with respect to any pending sale, through such Managers for the Company, the obligations of the Company Parties, including in respect of compensation of the Managers, shall remain in full force and effect notwithstanding the termination, and (iii) the provisions of Sections 2, 5, 7, 9, 10, 11, 12, 13, 15 and 16 of this Agreement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Manager shall have the right, by giving written notice as hereinafter specified, to terminate its own obligations under the provisions of this Agreement relating to the solicitation of offers to purchase the Shares in its sole discretion at any time. Any such termination shall have no effect on the obligations of any other Manager under this Agreement and shall be without liability of any party to any other party except that the provisions of Sections 2, 5, 7, 9, 10, 11, 12, 13, 15 and 16 of this Agreement shall remain in full force and effect with respect to such Managers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Agreement shall remain in full force and effect until the earlier of (i) its termination pursuant to Section 8(a) above or otherwise by mutual agreement of all of the parties, (ii) the termination of the obligations of each Manager pursuant to Section 8(b) above and (iii) such date that the aggregate gross sales proceeds of the Shares sold pursuant to this Agreement equals the Maximum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termination by mutual agreement or termination pursuant to clause (iii) shall in all cases be deemed to provide that Sections 2, 5, 7 and 9 shall remain in full force and effect. The Company Parties agree to provide prompt written notice of any termination pursuant to clause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termination of this Agreement shall be effective on the date specified in such notice of 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termination shall not be effective until the close of business on the date of receipt of such notice by any Manager or the Company Parties, as the case may be. If such termination shall occur prior to the Settlement Date or Applicable Time for any sale of the Shares, such sale shall settle in accordance with the provisions of Section 3(a)(vii)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9.              </w:t>
      </w:r>
      <w:r>
        <w:rPr>
          <w:rFonts w:ascii="Times New Roman;Times;Serif" w:hAnsi="Times New Roman;Times;Serif"/>
          <w:b w:val="false"/>
          <w:i w:val="false"/>
          <w:caps w:val="false"/>
          <w:smallCaps w:val="false"/>
          <w:sz w:val="20"/>
          <w:u w:val="single"/>
        </w:rPr>
        <w:t>Representations and Indemnities to Survive</w:t>
      </w:r>
      <w:r>
        <w:rPr>
          <w:rFonts w:ascii="Times New Roman;Times;Serif" w:hAnsi="Times New Roman;Times;Serif"/>
          <w:b w:val="false"/>
          <w:i w:val="false"/>
          <w:caps w:val="false"/>
          <w:smallCaps w:val="false"/>
          <w:sz w:val="20"/>
        </w:rPr>
        <w:t>. The respective agreements, representations, warranties, indemnities, rights of contribution and other statements of the Company Parties’ officers and of the Managers set forth in or made pursuant to this Agreement will remain in full force and effect, regardless of any investigation made by or on behalf of the Managers or the Company Parties or any of the officers, directors, employees, affiliates, agents or controlling persons referred to in Section 7 hereof, and will survive delivery of and payment for the Shares. The provisions of Section 7 shall survive the termination or cancellation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will be in writing and effective only on receipt, and, if sent to the Company Parties, shall be directed to them at c/o Clearway Energy, Inc., 300 Carnegie Center, Suite 300, Princeton, New Jersey 08540, attention of General Counsel, with a copy to Baker Botts L.L.P., 2001 Ross Avenue, Suite 900, Dallas, Texas 75201, attention to Preston Bernhisel; or, if sent to each Manager, will be directed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33rd Street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Equity Syndicate Department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no: (212) 214-5918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Attention: ATM Execution Group, email: </w:t>
      </w:r>
      <w:r>
        <w:rPr>
          <w:rFonts w:ascii="Times New Roman;Times;Serif" w:hAnsi="Times New Roman;Times;Serif"/>
          <w:b w:val="false"/>
          <w:i w:val="false"/>
          <w:caps w:val="false"/>
          <w:smallCaps w:val="false"/>
          <w:sz w:val="20"/>
          <w:u w:val="single"/>
        </w:rPr>
        <w:t>dg.atm execution@bofa.com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br/>
        <w:t>New York, New York 10017</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11.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This Agreement will inure to the benefit of and be binding upon the parties hereto and their respective successors and the officers, directors, employees, agents and controlling persons referred to in Section 7 hereof, and no other person will have any right or obligation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12.            </w:t>
      </w:r>
      <w:r>
        <w:rPr>
          <w:rFonts w:ascii="Times New Roman;Times;Serif" w:hAnsi="Times New Roman;Times;Serif"/>
          <w:b w:val="false"/>
          <w:i w:val="false"/>
          <w:caps w:val="false"/>
          <w:smallCaps w:val="false"/>
          <w:sz w:val="20"/>
          <w:u w:val="single"/>
        </w:rPr>
        <w:t>No Fiduciary Duty</w:t>
      </w:r>
      <w:r>
        <w:rPr>
          <w:rFonts w:ascii="Times New Roman;Times;Serif" w:hAnsi="Times New Roman;Times;Serif"/>
          <w:b w:val="false"/>
          <w:i w:val="false"/>
          <w:caps w:val="false"/>
          <w:smallCaps w:val="false"/>
          <w:sz w:val="20"/>
        </w:rPr>
        <w:t>. The Company Parties hereby acknowledge that (a) the purchase and sale of the Shares pursuant to this Agreement is an arm’s-length commercial transaction between the Company Parties, on the one hand, and the Managers and any affiliates through which it may be acting, on the other, (b) the Managers are acting solely as sales agents in connection with the purchase and sale of the Shares and not as fiduciaries of the Company Parties, (c) the Company’s engagement of the Managers in connection with the offering and the process leading up to the offering is as independent contractors and not in any other capacity and (d) none of the activities of the Managers in connection with the transactions contemplated herein constitutes a recommendation, investment advice, or solicitation of any action by the Managers with respect to any entity or natural person. Furthermore, the Company Parties agree that they are solely responsible for making their own judgments in connection with the offering (irrespective of whether the Managers have advised or are currently advising the Company Parties on related or other matters). The Company Parties agree that they will not claim that the Managers have rendered advisory services of any nature or respect, or owe an agency, fiduciary or similar duty to the Company Parties, in connection with the transactions contemplated by this Agreement or the process leading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13.            </w:t>
      </w:r>
      <w:r>
        <w:rPr>
          <w:rFonts w:ascii="Times New Roman;Times;Serif" w:hAnsi="Times New Roman;Times;Serif"/>
          <w:b w:val="false"/>
          <w:i w:val="false"/>
          <w:caps w:val="false"/>
          <w:smallCaps w:val="false"/>
          <w:sz w:val="20"/>
          <w:u w:val="single"/>
        </w:rPr>
        <w:t>Research Analyst Independence</w:t>
      </w:r>
      <w:r>
        <w:rPr>
          <w:rFonts w:ascii="Times New Roman;Times;Serif" w:hAnsi="Times New Roman;Times;Serif"/>
          <w:b w:val="false"/>
          <w:i w:val="false"/>
          <w:caps w:val="false"/>
          <w:smallCaps w:val="false"/>
          <w:sz w:val="20"/>
        </w:rPr>
        <w:t>. The Company Parties acknowledge that the Managers’ respective research analysts and research departments are required to be independent from their respective investment banking divisions and are subject to certain regulations and internal policies, and that such Managers’ respective research analysts may hold views and make statements or investment recommendations and/or publish research reports with respect to the Company, the value of the Class C Common Stock and/or the offering that differ from the views of their respective investment banking division. The Company Parties hereby waive and release, to the fullest extent permitted by law, any claims that the Company Parties may have against any of the Managers with respect to any conflict of interest that may arise from the fact that the views expressed by its respective independent research analysts and research departments may be different from or inconsistent with the views or advice communicated to the Company Parties by the Managers’ investment banking division. The Company Parties acknowledge that the Managers are full service securities firms and as such from time to time, subject to applicable securities laws, may effect transactions for their own account or the account of their customers and hold long or short positions in debt or equity securities of the companies which may be the subject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14.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supersedes all prior agreements and understandings (whether written or oral), between the Company Parties and the Managers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15.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and any claim, counterclaim or dispute of any kind or nature whatsoever arising out of or in any way relating to this Agreement, will be governed by and construed in accordance with the laws of the State of New York applicable to contracts made and to be performed within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16.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Company Parties hereby irrevocably waive, to the fullest extent permitted by applicable law, any and all right to trial by jury in any legal proceeding arising out of or relating to this Agreement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used in this Agreement are for convenience only and shall not affect the construction hereof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18.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This Agreement may only be amended or modified in writing, signed by all of the parties hereto, and no condition herein (express or implied) may be waived unless waived in writing by each party whom the condition is meant to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19.            </w:t>
      </w:r>
      <w:r>
        <w:rPr>
          <w:rFonts w:ascii="Times New Roman;Times;Serif" w:hAnsi="Times New Roman;Times;Serif"/>
          <w:b w:val="false"/>
          <w:i w:val="false"/>
          <w:caps w:val="false"/>
          <w:smallCaps w:val="false"/>
          <w:sz w:val="20"/>
          <w:u w:val="single"/>
        </w:rPr>
        <w:t>Compliance with USA Patriot Act</w:t>
      </w:r>
      <w:r>
        <w:rPr>
          <w:rFonts w:ascii="Times New Roman;Times;Serif" w:hAnsi="Times New Roman;Times;Serif"/>
          <w:b w:val="false"/>
          <w:i w:val="false"/>
          <w:caps w:val="false"/>
          <w:smallCaps w:val="false"/>
          <w:sz w:val="20"/>
        </w:rPr>
        <w:t>. In accordance with the requirements of the USA PATRIOT Act, the Managers are required to obtain, verify and record information that identifies their respective clients, including the Company Parties, which information may include the name and address of their respective clients, as well as other information that will allow the Managers to properly identify their respective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20.            </w:t>
      </w:r>
      <w:r>
        <w:rPr>
          <w:rFonts w:ascii="Times New Roman;Times;Serif" w:hAnsi="Times New Roman;Times;Serif"/>
          <w:b w:val="false"/>
          <w:i w:val="false"/>
          <w:caps w:val="false"/>
          <w:smallCaps w:val="false"/>
          <w:sz w:val="20"/>
          <w:u w:val="single"/>
        </w:rPr>
        <w:t>Counterparts; Electronic Signatures</w:t>
      </w:r>
      <w:r>
        <w:rPr>
          <w:rFonts w:ascii="Times New Roman;Times;Serif" w:hAnsi="Times New Roman;Times;Serif"/>
          <w:b w:val="false"/>
          <w:i w:val="false"/>
          <w:caps w:val="false"/>
          <w:smallCaps w:val="false"/>
          <w:sz w:val="20"/>
        </w:rPr>
        <w:t>. This Agreement may be executed in multiple counterparts and when a counterpart has been executed by each party hereto all such counterparts taken together shall constitute one and the same agreement. Delivery of an executed counterpart of a signature page to this Agreement by telecopier, facsimile or other electronic transmission (i.e., a “pdf” or “tif”) shall be effective as delivery of a manually executed counterpart thereof.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21.            </w:t>
      </w:r>
      <w:r>
        <w:rPr>
          <w:rFonts w:ascii="Times New Roman;Times;Serif" w:hAnsi="Times New Roman;Times;Serif"/>
          <w:b w:val="false"/>
          <w:i w:val="false"/>
          <w:caps w:val="false"/>
          <w:smallCaps w:val="false"/>
          <w:sz w:val="20"/>
          <w:u w:val="single"/>
        </w:rPr>
        <w:t>Recognition of the U.S. Special Resolution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Manager that is a Covered Entity (as defined below) becomes subject to a proceeding under a U.S. Special Resolution Regime (as defined below),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terms that follow, when used in this Agreement, shall have the meanings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shall mean the Securities Act of 1933, as amended, and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shall mean, with respect to any Shares, the time of sale of such Shares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shall mean the base prospectus referred to in Section 2(a) above contained in the Registration Statement at the Execution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a Saturday, a Sunday or a legal holiday or a day on which banking institutions or trust companies are authorized or obligated by law to close in New York 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shall mean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mean each date and time that the Registration Statement, any post-effective amendment or amendments thereto and any Rule 462(b) Registration Statement became or becomes effective under the Act in accordance with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and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Execution Time</w:t>
      </w:r>
      <w:r>
        <w:rPr>
          <w:rFonts w:ascii="Times New Roman;Times;Serif" w:hAnsi="Times New Roman;Times;Serif"/>
          <w:b w:val="false"/>
          <w:i w:val="false"/>
          <w:caps w:val="false"/>
          <w:smallCaps w:val="false"/>
          <w:sz w:val="20"/>
        </w:rPr>
        <w:t>” shall mean the date and time that this Agreement is executed and delivered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shall mean an issuer free writing prospectus, as defined in Rule 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shall mean the Base Prospectus, as supplemented by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shall mean the prospectus supplement relating to the Shares that was first filed pursuant to Rule 424(b) at or prior to the Execution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153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158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164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462</w:t>
      </w:r>
      <w:r>
        <w:rPr>
          <w:rFonts w:ascii="Times New Roman;Times;Serif" w:hAnsi="Times New Roman;Times;Serif"/>
          <w:b w:val="false"/>
          <w:i w:val="false"/>
          <w:caps w:val="false"/>
          <w:smallCaps w:val="false"/>
          <w:sz w:val="20"/>
        </w:rPr>
        <w:t>” refer to such rules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462(b) Registration Statement</w:t>
      </w:r>
      <w:r>
        <w:rPr>
          <w:rFonts w:ascii="Times New Roman;Times;Serif" w:hAnsi="Times New Roman;Times;Serif"/>
          <w:b w:val="false"/>
          <w:i w:val="false"/>
          <w:caps w:val="false"/>
          <w:smallCaps w:val="false"/>
          <w:sz w:val="20"/>
        </w:rPr>
        <w:t>” shall mean a registration statement and any amendments thereto filed pursuant to Rule 462(b) relating to the offering covered by the registration statement referred to in Section 2(a)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23.            </w:t>
      </w:r>
      <w:r>
        <w:rPr>
          <w:rFonts w:ascii="Times New Roman;Times;Serif" w:hAnsi="Times New Roman;Times;Serif"/>
          <w:b w:val="false"/>
          <w:i w:val="false"/>
          <w:caps w:val="false"/>
          <w:smallCaps w:val="false"/>
          <w:sz w:val="20"/>
          <w:u w:val="single"/>
        </w:rPr>
        <w:t>Termination of Prior Equity Distribution Agreement</w:t>
      </w:r>
      <w:r>
        <w:rPr>
          <w:rFonts w:ascii="Times New Roman;Times;Serif" w:hAnsi="Times New Roman;Times;Serif"/>
          <w:b w:val="false"/>
          <w:i w:val="false"/>
          <w:caps w:val="false"/>
          <w:smallCaps w:val="false"/>
          <w:sz w:val="20"/>
        </w:rPr>
        <w:t>. In connection with the execution of this Agreement, the Company Parties and the Managers hereby acknowledge and agree that, effective as of the date hereof and pursuant to Section 8(c) of that certain Equity Distribution Agreement, dated as of August 6, 2025 (the “</w:t>
      </w:r>
      <w:r>
        <w:rPr>
          <w:rFonts w:ascii="Times New Roman;Times;Serif" w:hAnsi="Times New Roman;Times;Serif"/>
          <w:b w:val="false"/>
          <w:i w:val="false"/>
          <w:caps w:val="false"/>
          <w:smallCaps w:val="false"/>
          <w:sz w:val="20"/>
          <w:u w:val="single"/>
        </w:rPr>
        <w:t>Prior Agreement</w:t>
      </w:r>
      <w:r>
        <w:rPr>
          <w:rFonts w:ascii="Times New Roman;Times;Serif" w:hAnsi="Times New Roman;Times;Serif"/>
          <w:b w:val="false"/>
          <w:i w:val="false"/>
          <w:caps w:val="false"/>
          <w:smallCaps w:val="false"/>
          <w:sz w:val="20"/>
        </w:rPr>
        <w:t>”), the Prior Agreement is hereby terminated in its entirety. For the avoidance of doubt, pursuant to Section 8(c) of the Prior Agreement, the provisions of Sections 2, 5, 7 and 9 of the Prior Agreement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us the enclosed duplicate hereof, whereupon this letter and your acceptance shall represent a binding agreement among the Company Parties and the Managers.</w:t>
      </w:r>
    </w:p>
    <w:p>
      <w:pPr>
        <w:pStyle w:val="TextBody"/>
        <w:bidi w:val="0"/>
        <w:spacing w:before="0" w:after="0"/>
        <w:ind w:left="0" w:right="0" w:hanging="0"/>
        <w:jc w:val="left"/>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594"/>
        <w:gridCol w:w="2995"/>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Craig Cornelius</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Craig Cornelius</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and Chief Executive Officer</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LLC</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Craig Cornelius</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Craig Cornelius</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Equity Distribution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confirmed and accepted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559" w:type="dxa"/>
        <w:jc w:val="left"/>
        <w:tblInd w:w="0" w:type="dxa"/>
        <w:tblLayout w:type="fixed"/>
        <w:tblCellMar>
          <w:top w:w="0" w:type="dxa"/>
          <w:left w:w="0" w:type="dxa"/>
          <w:bottom w:w="0" w:type="dxa"/>
          <w:right w:w="0" w:type="dxa"/>
        </w:tblCellMar>
      </w:tblPr>
      <w:tblGrid>
        <w:gridCol w:w="566"/>
        <w:gridCol w:w="2918"/>
        <w:gridCol w:w="75"/>
      </w:tblGrid>
      <w:tr>
        <w:trPr/>
        <w:tc>
          <w:tcPr>
            <w:tcW w:w="3484" w:type="dxa"/>
            <w:gridSpan w:val="2"/>
            <w:tcBorders/>
            <w:vAlign w:val="center"/>
          </w:tcPr>
          <w:p>
            <w:pPr>
              <w:pStyle w:val="TableContents"/>
              <w:bidi w:val="0"/>
              <w:spacing w:before="0" w:after="283"/>
              <w:jc w:val="left"/>
              <w:rPr>
                <w:b/>
                <w:caps/>
                <w:sz w:val="20"/>
              </w:rPr>
            </w:pPr>
            <w:r>
              <w:rPr>
                <w:b/>
                <w:caps/>
                <w:sz w:val="20"/>
              </w:rPr>
              <w:t>Wells Fargo Securities, LLC</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By:</w:t>
            </w:r>
          </w:p>
        </w:tc>
        <w:tc>
          <w:tcPr>
            <w:tcW w:w="291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Rebecca Kotkin</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Name:</w:t>
            </w:r>
          </w:p>
        </w:tc>
        <w:tc>
          <w:tcPr>
            <w:tcW w:w="2918" w:type="dxa"/>
            <w:tcBorders/>
            <w:vAlign w:val="center"/>
          </w:tcPr>
          <w:p>
            <w:pPr>
              <w:pStyle w:val="TableContents"/>
              <w:bidi w:val="0"/>
              <w:spacing w:before="0" w:after="283"/>
              <w:jc w:val="left"/>
              <w:rPr>
                <w:sz w:val="20"/>
              </w:rPr>
            </w:pPr>
            <w:r>
              <w:rPr>
                <w:sz w:val="20"/>
              </w:rPr>
              <w:t>Rebecca Kotkin</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Title:</w:t>
            </w:r>
          </w:p>
        </w:tc>
        <w:tc>
          <w:tcPr>
            <w:tcW w:w="2918"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b/>
                <w:caps/>
                <w:sz w:val="20"/>
              </w:rPr>
            </w:pPr>
            <w:r>
              <w:rPr>
                <w:b/>
                <w:caps/>
                <w:sz w:val="20"/>
              </w:rPr>
              <w:t>Morgan Stanley &amp; Co. LLC</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By:</w:t>
            </w:r>
          </w:p>
        </w:tc>
        <w:tc>
          <w:tcPr>
            <w:tcW w:w="291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Daniel McCullough</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Name:</w:t>
            </w:r>
          </w:p>
        </w:tc>
        <w:tc>
          <w:tcPr>
            <w:tcW w:w="2918" w:type="dxa"/>
            <w:tcBorders/>
            <w:vAlign w:val="center"/>
          </w:tcPr>
          <w:p>
            <w:pPr>
              <w:pStyle w:val="TableContents"/>
              <w:bidi w:val="0"/>
              <w:spacing w:before="0" w:after="283"/>
              <w:jc w:val="left"/>
              <w:rPr>
                <w:sz w:val="20"/>
              </w:rPr>
            </w:pPr>
            <w:r>
              <w:rPr>
                <w:sz w:val="20"/>
              </w:rPr>
              <w:t>Daniel McCullough</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Title:</w:t>
            </w:r>
          </w:p>
        </w:tc>
        <w:tc>
          <w:tcPr>
            <w:tcW w:w="2918" w:type="dxa"/>
            <w:tcBorders/>
            <w:vAlign w:val="center"/>
          </w:tcPr>
          <w:p>
            <w:pPr>
              <w:pStyle w:val="TableContents"/>
              <w:bidi w:val="0"/>
              <w:spacing w:before="0" w:after="283"/>
              <w:jc w:val="left"/>
              <w:rPr>
                <w:sz w:val="20"/>
              </w:rPr>
            </w:pPr>
            <w:r>
              <w:rPr>
                <w:sz w:val="20"/>
              </w:rPr>
              <w:t>Executive Director</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b/>
                <w:caps/>
                <w:sz w:val="20"/>
              </w:rPr>
            </w:pPr>
            <w:r>
              <w:rPr>
                <w:b/>
                <w:caps/>
                <w:sz w:val="20"/>
              </w:rPr>
              <w:t>BofA Securities, Inc.</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By:</w:t>
            </w:r>
          </w:p>
        </w:tc>
        <w:tc>
          <w:tcPr>
            <w:tcW w:w="291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Ahmad Masud</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Name:</w:t>
            </w:r>
          </w:p>
        </w:tc>
        <w:tc>
          <w:tcPr>
            <w:tcW w:w="2918" w:type="dxa"/>
            <w:tcBorders/>
            <w:vAlign w:val="center"/>
          </w:tcPr>
          <w:p>
            <w:pPr>
              <w:pStyle w:val="TableContents"/>
              <w:bidi w:val="0"/>
              <w:spacing w:before="0" w:after="283"/>
              <w:jc w:val="left"/>
              <w:rPr>
                <w:sz w:val="20"/>
              </w:rPr>
            </w:pPr>
            <w:r>
              <w:rPr>
                <w:sz w:val="20"/>
              </w:rPr>
              <w:t>Ahmad Masud</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Title:</w:t>
            </w:r>
          </w:p>
        </w:tc>
        <w:tc>
          <w:tcPr>
            <w:tcW w:w="2918"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b/>
                <w:caps/>
                <w:sz w:val="20"/>
              </w:rPr>
            </w:pPr>
            <w:r>
              <w:rPr>
                <w:b/>
                <w:caps/>
                <w:sz w:val="20"/>
              </w:rPr>
              <w:t>Citigroup Global Markets Inc.</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By:</w:t>
            </w:r>
          </w:p>
        </w:tc>
        <w:tc>
          <w:tcPr>
            <w:tcW w:w="291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Ashwani Khubani</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Name:</w:t>
            </w:r>
          </w:p>
        </w:tc>
        <w:tc>
          <w:tcPr>
            <w:tcW w:w="2918" w:type="dxa"/>
            <w:tcBorders/>
            <w:vAlign w:val="center"/>
          </w:tcPr>
          <w:p>
            <w:pPr>
              <w:pStyle w:val="TableContents"/>
              <w:bidi w:val="0"/>
              <w:spacing w:before="0" w:after="283"/>
              <w:jc w:val="left"/>
              <w:rPr>
                <w:sz w:val="20"/>
              </w:rPr>
            </w:pPr>
            <w:r>
              <w:rPr>
                <w:sz w:val="20"/>
              </w:rPr>
              <w:t>Ashwani Khubani</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Title:</w:t>
            </w:r>
          </w:p>
        </w:tc>
        <w:tc>
          <w:tcPr>
            <w:tcW w:w="2918" w:type="dxa"/>
            <w:tcBorders/>
            <w:vAlign w:val="center"/>
          </w:tcPr>
          <w:p>
            <w:pPr>
              <w:pStyle w:val="TableContents"/>
              <w:bidi w:val="0"/>
              <w:spacing w:before="0" w:after="283"/>
              <w:jc w:val="left"/>
              <w:rPr>
                <w:sz w:val="20"/>
              </w:rPr>
            </w:pPr>
            <w:r>
              <w:rPr>
                <w:sz w:val="20"/>
              </w:rPr>
              <w:t>Managing Director / Vice President</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b/>
                <w:caps/>
                <w:sz w:val="20"/>
              </w:rPr>
            </w:pPr>
            <w:r>
              <w:rPr>
                <w:b/>
                <w:caps/>
                <w:sz w:val="20"/>
              </w:rPr>
              <w:t>J.P. Morgan Securities LLC</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By:</w:t>
            </w:r>
          </w:p>
        </w:tc>
        <w:tc>
          <w:tcPr>
            <w:tcW w:w="291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Preston Ryman</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Name:</w:t>
            </w:r>
          </w:p>
        </w:tc>
        <w:tc>
          <w:tcPr>
            <w:tcW w:w="2918" w:type="dxa"/>
            <w:tcBorders/>
            <w:vAlign w:val="center"/>
          </w:tcPr>
          <w:p>
            <w:pPr>
              <w:pStyle w:val="TableContents"/>
              <w:bidi w:val="0"/>
              <w:spacing w:before="0" w:after="283"/>
              <w:jc w:val="left"/>
              <w:rPr>
                <w:sz w:val="20"/>
              </w:rPr>
            </w:pPr>
            <w:r>
              <w:rPr>
                <w:sz w:val="20"/>
              </w:rPr>
              <w:t>Preston Ryman</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Title:</w:t>
            </w:r>
          </w:p>
        </w:tc>
        <w:tc>
          <w:tcPr>
            <w:tcW w:w="2918" w:type="dxa"/>
            <w:tcBorders/>
            <w:vAlign w:val="center"/>
          </w:tcPr>
          <w:p>
            <w:pPr>
              <w:pStyle w:val="TableContents"/>
              <w:bidi w:val="0"/>
              <w:spacing w:before="0" w:after="283"/>
              <w:jc w:val="left"/>
              <w:rPr>
                <w:sz w:val="20"/>
              </w:rPr>
            </w:pPr>
            <w:r>
              <w:rPr>
                <w:sz w:val="20"/>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Equity Distribution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Authorized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Cornelius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Rubenstein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Letterhead]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 20[__]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ELECTRONIC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sets forth the terms of the agreement of [Wells Fargo Securities, LLC/Morgan Stanley &amp; Co. LLC/BofA Securities, Inc./Citigroup Global Markets Inc./J.P. Morgan Securities LLC] with Clearway Energy,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relating to the sale of shares of the Company’s Class C common stock, par value $0.01 per share, having an aggregate gross sales price of up to $100,000,000, pursuant to the Equity Distribution Agreement between the Company, Clearway Energy LLC, a Delaware limited liability company (together with the Company, the “</w:t>
      </w:r>
      <w:r>
        <w:rPr>
          <w:rFonts w:ascii="Times New Roman;Times;Serif" w:hAnsi="Times New Roman;Times;Serif"/>
          <w:b w:val="false"/>
          <w:i w:val="false"/>
          <w:caps w:val="false"/>
          <w:smallCaps w:val="false"/>
          <w:sz w:val="20"/>
          <w:u w:val="single"/>
        </w:rPr>
        <w:t>Company Parties</w:t>
      </w:r>
      <w:r>
        <w:rPr>
          <w:rFonts w:ascii="Times New Roman;Times;Serif" w:hAnsi="Times New Roman;Times;Serif"/>
          <w:b w:val="false"/>
          <w:i w:val="false"/>
          <w:caps w:val="false"/>
          <w:smallCaps w:val="false"/>
          <w:sz w:val="20"/>
        </w:rPr>
        <w:t>”), and Wells Fargo Securities, LLC, Morgan Stanley &amp; Co. LLC, BofA Securities, Inc., Citigroup Global Markets Inc. and J.P. Morgan Securities LLC (each a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dated August 6, 2026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Unless otherwise defined below, capitalized terms defined in the Agreement shall have the same meanings when used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countersigning or otherwise indicating in writing the Company Parties’ acceptance of this Confirmation (an “</w:t>
      </w:r>
      <w:r>
        <w:rPr>
          <w:rFonts w:ascii="Times New Roman;Times;Serif" w:hAnsi="Times New Roman;Times;Serif"/>
          <w:b w:val="false"/>
          <w:i w:val="false"/>
          <w:caps w:val="false"/>
          <w:smallCaps w:val="false"/>
          <w:sz w:val="20"/>
          <w:u w:val="single"/>
        </w:rPr>
        <w:t>Acceptance</w:t>
      </w:r>
      <w:r>
        <w:rPr>
          <w:rFonts w:ascii="Times New Roman;Times;Serif" w:hAnsi="Times New Roman;Times;Serif"/>
          <w:b w:val="false"/>
          <w:i w:val="false"/>
          <w:caps w:val="false"/>
          <w:smallCaps w:val="false"/>
          <w:sz w:val="20"/>
        </w:rPr>
        <w:t>”), the Company Parties shall have agreed with the Manager to engage in the following transaction:</w:t>
      </w:r>
    </w:p>
    <w:p>
      <w:pPr>
        <w:pStyle w:val="TextBody"/>
        <w:bidi w:val="0"/>
        <w:spacing w:before="0" w:after="0"/>
        <w:ind w:left="0" w:right="0" w:hanging="0"/>
        <w:jc w:val="left"/>
        <w:rPr>
          <w:caps w:val="false"/>
          <w:smallCaps w:val="false"/>
        </w:rPr>
      </w:pPr>
      <w:r>
        <w:rPr>
          <w:caps w:val="false"/>
          <w:smallCaps w:val="false"/>
        </w:rPr>
        <w:t> </w:t>
      </w:r>
    </w:p>
    <w:tbl>
      <w:tblPr>
        <w:tblW w:w="6080" w:type="dxa"/>
        <w:jc w:val="center"/>
        <w:tblInd w:w="0" w:type="dxa"/>
        <w:tblLayout w:type="fixed"/>
        <w:tblCellMar>
          <w:top w:w="0" w:type="dxa"/>
          <w:left w:w="0" w:type="dxa"/>
          <w:bottom w:w="0" w:type="dxa"/>
          <w:right w:w="0" w:type="dxa"/>
        </w:tblCellMar>
      </w:tblPr>
      <w:tblGrid>
        <w:gridCol w:w="6005"/>
        <w:gridCol w:w="75"/>
      </w:tblGrid>
      <w:tr>
        <w:trPr/>
        <w:tc>
          <w:tcPr>
            <w:tcW w:w="6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 to be sold][Aggregate Gross Price of Shares to be sold]: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Minimum price at which Shares may be sold: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Date(s) on which Shares may be sold: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to Manager (if different than the Agreement):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transaction set forth in this Confirmation will not be binding on the Company Parties or the Manager unless and until the Company Parties deliver their Acceptance;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neither the Company Parties nor the Manager will be bound by the terms of this Confirmation unless the Company Parties delivers their Acceptance by [_] a.m./p.m. (New York time) on [the date hereof [_____],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if it becomes binding on the parties, shall be subject to all of the representations, warranties, covenants and other terms and conditions of the Agreement, except to the extent amended or modified hereby, all of which are expressly incorporated herein by reference. Each of the representations and warranties set forth in the Agreement shall be deemed to have been made at and as of every Applicable Time, every Settlement Date and every Representation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conforms to your understanding of our agreement, please so indicate your Acceptance by signing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73"/>
        <w:gridCol w:w="2191"/>
        <w:gridCol w:w="6666"/>
      </w:tblGrid>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pPr>
            <w:r>
              <w:rPr/>
              <w:t>[WELLS FARGO SECURITIES, LLC/</w:t>
            </w:r>
            <w:r>
              <w:rPr>
                <w:caps/>
              </w:rPr>
              <w:t>Morgan Stanley &amp; Co. LLC/BofA Securities, Inc./Citigroup Global Markets Inc./J.P. Morgan Securities LLC</w:t>
            </w:r>
            <w:r>
              <w:rPr/>
              <w:t>]</w:t>
            </w:r>
          </w:p>
        </w:tc>
      </w:tr>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857"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6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66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79" w:type="dxa"/>
        <w:jc w:val="left"/>
        <w:tblInd w:w="0" w:type="dxa"/>
        <w:tblLayout w:type="fixed"/>
        <w:tblCellMar>
          <w:top w:w="0" w:type="dxa"/>
          <w:left w:w="0" w:type="dxa"/>
          <w:bottom w:w="0" w:type="dxa"/>
          <w:right w:w="0" w:type="dxa"/>
        </w:tblCellMar>
      </w:tblPr>
      <w:tblGrid>
        <w:gridCol w:w="650"/>
        <w:gridCol w:w="1058"/>
        <w:gridCol w:w="2796"/>
        <w:gridCol w:w="75"/>
      </w:tblGrid>
      <w:tr>
        <w:trPr/>
        <w:tc>
          <w:tcPr>
            <w:tcW w:w="4504" w:type="dxa"/>
            <w:gridSpan w:val="3"/>
            <w:tcBorders/>
            <w:vAlign w:val="center"/>
          </w:tcPr>
          <w:p>
            <w:pPr>
              <w:pStyle w:val="TableContents"/>
              <w:bidi w:val="0"/>
              <w:spacing w:before="0" w:after="283"/>
              <w:jc w:val="left"/>
              <w:rPr/>
            </w:pPr>
            <w:r>
              <w:rPr/>
              <w:t>ACCEPTED as of the date first above written  </w:t>
            </w:r>
          </w:p>
        </w:tc>
        <w:tc>
          <w:tcPr>
            <w:tcW w:w="75" w:type="dxa"/>
            <w:tcBorders/>
            <w:vAlign w:val="center"/>
          </w:tcPr>
          <w:p>
            <w:pPr>
              <w:pStyle w:val="TableContents"/>
              <w:bidi w:val="0"/>
              <w:spacing w:before="0" w:after="283"/>
              <w:jc w:val="left"/>
              <w:rPr/>
            </w:pPr>
            <w:r>
              <w:rPr/>
              <w:t> </w:t>
            </w:r>
          </w:p>
        </w:tc>
      </w:tr>
      <w:tr>
        <w:trPr/>
        <w:tc>
          <w:tcPr>
            <w:tcW w:w="450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04" w:type="dxa"/>
            <w:gridSpan w:val="3"/>
            <w:tcBorders/>
            <w:vAlign w:val="center"/>
          </w:tcPr>
          <w:p>
            <w:pPr>
              <w:pStyle w:val="TableContents"/>
              <w:bidi w:val="0"/>
              <w:spacing w:before="0" w:after="283"/>
              <w:jc w:val="left"/>
              <w:rPr/>
            </w:pPr>
            <w:r>
              <w:rPr/>
              <w:t>CLEARWAY ENERGY, INC.</w:t>
            </w:r>
          </w:p>
        </w:tc>
        <w:tc>
          <w:tcPr>
            <w:tcW w:w="75" w:type="dxa"/>
            <w:tcBorders/>
            <w:vAlign w:val="center"/>
          </w:tcPr>
          <w:p>
            <w:pPr>
              <w:pStyle w:val="TableContents"/>
              <w:bidi w:val="0"/>
              <w:spacing w:before="0" w:after="283"/>
              <w:jc w:val="left"/>
              <w:rPr/>
            </w:pPr>
            <w:r>
              <w:rPr/>
              <w:t> </w:t>
            </w:r>
          </w:p>
        </w:tc>
      </w:tr>
      <w:tr>
        <w:trPr/>
        <w:tc>
          <w:tcPr>
            <w:tcW w:w="450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54"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c>
          <w:tcPr>
            <w:tcW w:w="27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c>
          <w:tcPr>
            <w:tcW w:w="27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04" w:type="dxa"/>
            <w:gridSpan w:val="3"/>
            <w:tcBorders/>
            <w:vAlign w:val="center"/>
          </w:tcPr>
          <w:p>
            <w:pPr>
              <w:pStyle w:val="TableContents"/>
              <w:bidi w:val="0"/>
              <w:spacing w:before="0" w:after="283"/>
              <w:jc w:val="left"/>
              <w:rPr/>
            </w:pPr>
            <w:r>
              <w:rPr/>
              <w:t>ACCEPTED as of the date first above written</w:t>
            </w:r>
          </w:p>
        </w:tc>
        <w:tc>
          <w:tcPr>
            <w:tcW w:w="75" w:type="dxa"/>
            <w:tcBorders/>
            <w:vAlign w:val="center"/>
          </w:tcPr>
          <w:p>
            <w:pPr>
              <w:pStyle w:val="TableContents"/>
              <w:bidi w:val="0"/>
              <w:spacing w:before="0" w:after="283"/>
              <w:jc w:val="left"/>
              <w:rPr/>
            </w:pPr>
            <w:r>
              <w:rPr/>
              <w:t> </w:t>
            </w:r>
          </w:p>
        </w:tc>
      </w:tr>
      <w:tr>
        <w:trPr/>
        <w:tc>
          <w:tcPr>
            <w:tcW w:w="450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04" w:type="dxa"/>
            <w:gridSpan w:val="3"/>
            <w:tcBorders/>
            <w:vAlign w:val="center"/>
          </w:tcPr>
          <w:p>
            <w:pPr>
              <w:pStyle w:val="TableContents"/>
              <w:bidi w:val="0"/>
              <w:spacing w:before="0" w:after="283"/>
              <w:jc w:val="left"/>
              <w:rPr/>
            </w:pPr>
            <w:r>
              <w:rPr/>
              <w:t>CLEARWAY ENERGY LLC</w:t>
            </w:r>
          </w:p>
        </w:tc>
        <w:tc>
          <w:tcPr>
            <w:tcW w:w="75" w:type="dxa"/>
            <w:tcBorders/>
            <w:vAlign w:val="center"/>
          </w:tcPr>
          <w:p>
            <w:pPr>
              <w:pStyle w:val="TableContents"/>
              <w:bidi w:val="0"/>
              <w:spacing w:before="0" w:after="283"/>
              <w:jc w:val="left"/>
              <w:rPr/>
            </w:pPr>
            <w:r>
              <w:rPr/>
              <w:t> </w:t>
            </w:r>
          </w:p>
        </w:tc>
      </w:tr>
      <w:tr>
        <w:trPr/>
        <w:tc>
          <w:tcPr>
            <w:tcW w:w="450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54"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Company Parties’ Acceptance may also be evidenced by a separate written acceptance referencing this Confirmation and delivered in accordance with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22162</Words>
  <Characters>116379</Characters>
  <CharactersWithSpaces>140183</CharactersWithSpaces>
  <Paragraphs>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