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ind w:right="1239"/>
        <w:spacing w:after="0" w:line="277" w:lineRule="auto"/>
        <w:rPr>
          <w:sz w:val="20"/>
          <w:szCs w:val="20"/>
          <w:color w:val="auto"/>
        </w:rPr>
      </w:pPr>
      <w:r>
        <w:rPr>
          <w:rFonts w:ascii="Times New Roman" w:cs="Times New Roman" w:eastAsia="Times New Roman" w:hAnsi="Times New Roman"/>
          <w:sz w:val="43"/>
          <w:szCs w:val="43"/>
          <w:color w:val="auto"/>
        </w:rPr>
        <w:drawing>
          <wp:anchor simplePos="0" relativeHeight="251657728" behindDoc="1" locked="0" layoutInCell="0" allowOverlap="1">
            <wp:simplePos x="0" y="0"/>
            <wp:positionH relativeFrom="page">
              <wp:posOffset>195580</wp:posOffset>
            </wp:positionH>
            <wp:positionV relativeFrom="page">
              <wp:posOffset>144780</wp:posOffset>
            </wp:positionV>
            <wp:extent cx="7157720" cy="4254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57720" cy="42545"/>
                    </a:xfrm>
                    <a:prstGeom prst="rect">
                      <a:avLst/>
                    </a:prstGeom>
                    <a:noFill/>
                  </pic:spPr>
                </pic:pic>
              </a:graphicData>
            </a:graphic>
          </wp:anchor>
        </w:drawing>
        <w:drawing>
          <wp:anchor simplePos="0" relativeHeight="251657728" behindDoc="1" locked="0" layoutInCell="0" allowOverlap="1">
            <wp:simplePos x="0" y="0"/>
            <wp:positionH relativeFrom="page">
              <wp:posOffset>195580</wp:posOffset>
            </wp:positionH>
            <wp:positionV relativeFrom="page">
              <wp:posOffset>453390</wp:posOffset>
            </wp:positionV>
            <wp:extent cx="7157720" cy="4254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57720" cy="42545"/>
                    </a:xfrm>
                    <a:prstGeom prst="rect">
                      <a:avLst/>
                    </a:prstGeom>
                    <a:noFill/>
                  </pic:spPr>
                </pic:pic>
              </a:graphicData>
            </a:graphic>
          </wp:anchor>
        </w:drawing>
        <w:t>SECURITIES AND EXCHANGE COMMISSION Washington, D.C. 20549</w:t>
      </w:r>
    </w:p>
    <w:p>
      <w:pPr>
        <w:spacing w:after="0" w:line="400" w:lineRule="exact"/>
        <w:rPr>
          <w:sz w:val="24"/>
          <w:szCs w:val="24"/>
          <w:color w:val="auto"/>
        </w:rPr>
      </w:pPr>
    </w:p>
    <w:p>
      <w:pPr>
        <w:spacing w:after="0"/>
        <w:rPr>
          <w:sz w:val="20"/>
          <w:szCs w:val="20"/>
          <w:color w:val="auto"/>
        </w:rPr>
      </w:pPr>
      <w:r>
        <w:rPr>
          <w:rFonts w:ascii="Times New Roman" w:cs="Times New Roman" w:eastAsia="Times New Roman" w:hAnsi="Times New Roman"/>
          <w:sz w:val="32"/>
          <w:szCs w:val="32"/>
          <w:color w:val="auto"/>
        </w:rPr>
        <w:t>SCHEDULE 13G</w:t>
      </w:r>
    </w:p>
    <w:p>
      <w:pPr>
        <w:spacing w:after="0" w:line="200" w:lineRule="exact"/>
        <w:rPr>
          <w:sz w:val="24"/>
          <w:szCs w:val="24"/>
          <w:color w:val="auto"/>
        </w:rPr>
      </w:pPr>
    </w:p>
    <w:p>
      <w:pPr>
        <w:spacing w:after="0" w:line="346" w:lineRule="exact"/>
        <w:rPr>
          <w:sz w:val="24"/>
          <w:szCs w:val="24"/>
          <w:color w:val="auto"/>
        </w:rPr>
      </w:pPr>
    </w:p>
    <w:p>
      <w:pPr>
        <w:spacing w:after="0"/>
        <w:rPr>
          <w:sz w:val="20"/>
          <w:szCs w:val="20"/>
          <w:color w:val="auto"/>
        </w:rPr>
      </w:pPr>
      <w:r>
        <w:rPr>
          <w:rFonts w:ascii="Times New Roman" w:cs="Times New Roman" w:eastAsia="Times New Roman" w:hAnsi="Times New Roman"/>
          <w:sz w:val="26"/>
          <w:szCs w:val="26"/>
          <w:color w:val="auto"/>
        </w:rPr>
        <w:t>UNDER THE SECURITIES EXCHANGE ACT OF 1934</w:t>
      </w:r>
    </w:p>
    <w:p>
      <w:pPr>
        <w:spacing w:after="0" w:line="106" w:lineRule="exact"/>
        <w:rPr>
          <w:sz w:val="24"/>
          <w:szCs w:val="24"/>
          <w:color w:val="auto"/>
        </w:rPr>
      </w:pPr>
    </w:p>
    <w:p>
      <w:pPr>
        <w:jc w:val="center"/>
        <w:ind w:right="1119"/>
        <w:spacing w:after="0"/>
        <w:rPr>
          <w:sz w:val="20"/>
          <w:szCs w:val="20"/>
          <w:color w:val="auto"/>
        </w:rPr>
      </w:pPr>
      <w:r>
        <w:rPr>
          <w:rFonts w:ascii="Times New Roman" w:cs="Times New Roman" w:eastAsia="Times New Roman" w:hAnsi="Times New Roman"/>
          <w:sz w:val="22"/>
          <w:szCs w:val="22"/>
          <w:b w:val="1"/>
          <w:bCs w:val="1"/>
          <w:color w:val="0000FF"/>
        </w:rPr>
        <w:t>Clearway Energy, Inc.</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69215</wp:posOffset>
            </wp:positionV>
            <wp:extent cx="5717540" cy="425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717540" cy="42545"/>
                    </a:xfrm>
                    <a:prstGeom prst="rect">
                      <a:avLst/>
                    </a:prstGeom>
                    <a:noFill/>
                  </pic:spPr>
                </pic:pic>
              </a:graphicData>
            </a:graphic>
          </wp:anchor>
        </w:drawing>
      </w:r>
    </w:p>
    <w:p>
      <w:pPr>
        <w:spacing w:after="0" w:line="213" w:lineRule="exact"/>
        <w:rPr>
          <w:sz w:val="24"/>
          <w:szCs w:val="24"/>
          <w:color w:val="auto"/>
        </w:rPr>
      </w:pPr>
    </w:p>
    <w:p>
      <w:pPr>
        <w:ind w:left="3720"/>
        <w:spacing w:after="0"/>
        <w:rPr>
          <w:sz w:val="20"/>
          <w:szCs w:val="20"/>
          <w:color w:val="auto"/>
        </w:rPr>
      </w:pPr>
      <w:r>
        <w:rPr>
          <w:rFonts w:ascii="Times New Roman" w:cs="Times New Roman" w:eastAsia="Times New Roman" w:hAnsi="Times New Roman"/>
          <w:sz w:val="22"/>
          <w:szCs w:val="22"/>
          <w:b w:val="1"/>
          <w:bCs w:val="1"/>
          <w:color w:val="auto"/>
        </w:rPr>
        <w:t>(Name of Issuer)</w:t>
      </w:r>
    </w:p>
    <w:p>
      <w:pPr>
        <w:spacing w:after="0" w:line="200" w:lineRule="exact"/>
        <w:rPr>
          <w:sz w:val="24"/>
          <w:szCs w:val="24"/>
          <w:color w:val="auto"/>
        </w:rPr>
      </w:pPr>
    </w:p>
    <w:p>
      <w:pPr>
        <w:spacing w:after="0" w:line="330" w:lineRule="exact"/>
        <w:rPr>
          <w:sz w:val="24"/>
          <w:szCs w:val="24"/>
          <w:color w:val="auto"/>
        </w:rPr>
      </w:pPr>
    </w:p>
    <w:p>
      <w:pPr>
        <w:jc w:val="center"/>
        <w:ind w:right="1119"/>
        <w:spacing w:after="0"/>
        <w:rPr>
          <w:sz w:val="20"/>
          <w:szCs w:val="20"/>
          <w:color w:val="auto"/>
        </w:rPr>
      </w:pPr>
      <w:r>
        <w:rPr>
          <w:rFonts w:ascii="Times New Roman" w:cs="Times New Roman" w:eastAsia="Times New Roman" w:hAnsi="Times New Roman"/>
          <w:sz w:val="22"/>
          <w:szCs w:val="22"/>
          <w:b w:val="1"/>
          <w:bCs w:val="1"/>
          <w:color w:val="0000FF"/>
        </w:rPr>
        <w:t>Class C Common Stock, par value $0.01</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69215</wp:posOffset>
            </wp:positionV>
            <wp:extent cx="5717540" cy="4254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5717540" cy="42545"/>
                    </a:xfrm>
                    <a:prstGeom prst="rect">
                      <a:avLst/>
                    </a:prstGeom>
                    <a:noFill/>
                  </pic:spPr>
                </pic:pic>
              </a:graphicData>
            </a:graphic>
          </wp:anchor>
        </w:drawing>
      </w:r>
    </w:p>
    <w:p>
      <w:pPr>
        <w:spacing w:after="0" w:line="213" w:lineRule="exact"/>
        <w:rPr>
          <w:sz w:val="24"/>
          <w:szCs w:val="24"/>
          <w:color w:val="auto"/>
        </w:rPr>
      </w:pPr>
    </w:p>
    <w:p>
      <w:pPr>
        <w:ind w:left="3220"/>
        <w:spacing w:after="0"/>
        <w:rPr>
          <w:sz w:val="20"/>
          <w:szCs w:val="20"/>
          <w:color w:val="auto"/>
        </w:rPr>
      </w:pPr>
      <w:r>
        <w:rPr>
          <w:rFonts w:ascii="Times New Roman" w:cs="Times New Roman" w:eastAsia="Times New Roman" w:hAnsi="Times New Roman"/>
          <w:sz w:val="22"/>
          <w:szCs w:val="22"/>
          <w:b w:val="1"/>
          <w:bCs w:val="1"/>
          <w:color w:val="auto"/>
        </w:rPr>
        <w:t>(Title of Class of Securities)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412115</wp:posOffset>
            </wp:positionV>
            <wp:extent cx="5717540" cy="4254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5717540" cy="42545"/>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353" w:lineRule="exact"/>
        <w:rPr>
          <w:sz w:val="24"/>
          <w:szCs w:val="24"/>
          <w:color w:val="auto"/>
        </w:rPr>
      </w:pPr>
    </w:p>
    <w:p>
      <w:pPr>
        <w:ind w:left="3680"/>
        <w:spacing w:after="0"/>
        <w:rPr>
          <w:sz w:val="20"/>
          <w:szCs w:val="20"/>
          <w:color w:val="auto"/>
        </w:rPr>
      </w:pPr>
      <w:r>
        <w:rPr>
          <w:rFonts w:ascii="Times New Roman" w:cs="Times New Roman" w:eastAsia="Times New Roman" w:hAnsi="Times New Roman"/>
          <w:sz w:val="22"/>
          <w:szCs w:val="22"/>
          <w:b w:val="1"/>
          <w:bCs w:val="1"/>
          <w:color w:val="auto"/>
        </w:rPr>
        <w:t>(CUSIP Number)</w:t>
      </w:r>
    </w:p>
    <w:p>
      <w:pPr>
        <w:spacing w:after="0" w:line="200" w:lineRule="exact"/>
        <w:rPr>
          <w:sz w:val="24"/>
          <w:szCs w:val="24"/>
          <w:color w:val="auto"/>
        </w:rPr>
      </w:pPr>
    </w:p>
    <w:p>
      <w:pPr>
        <w:spacing w:after="0" w:line="330" w:lineRule="exact"/>
        <w:rPr>
          <w:sz w:val="24"/>
          <w:szCs w:val="24"/>
          <w:color w:val="auto"/>
        </w:rPr>
      </w:pPr>
    </w:p>
    <w:p>
      <w:pPr>
        <w:jc w:val="center"/>
        <w:ind w:right="1119"/>
        <w:spacing w:after="0"/>
        <w:rPr>
          <w:sz w:val="20"/>
          <w:szCs w:val="20"/>
          <w:color w:val="auto"/>
        </w:rPr>
      </w:pPr>
      <w:r>
        <w:rPr>
          <w:rFonts w:ascii="Times New Roman" w:cs="Times New Roman" w:eastAsia="Times New Roman" w:hAnsi="Times New Roman"/>
          <w:sz w:val="22"/>
          <w:szCs w:val="22"/>
          <w:b w:val="1"/>
          <w:bCs w:val="1"/>
          <w:color w:val="0000FF"/>
        </w:rPr>
        <w:t>09/30/2026</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69215</wp:posOffset>
            </wp:positionV>
            <wp:extent cx="5717540" cy="4254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5717540" cy="42545"/>
                    </a:xfrm>
                    <a:prstGeom prst="rect">
                      <a:avLst/>
                    </a:prstGeom>
                    <a:noFill/>
                  </pic:spPr>
                </pic:pic>
              </a:graphicData>
            </a:graphic>
          </wp:anchor>
        </w:drawing>
      </w:r>
    </w:p>
    <w:p>
      <w:pPr>
        <w:spacing w:after="0" w:line="213" w:lineRule="exact"/>
        <w:rPr>
          <w:sz w:val="24"/>
          <w:szCs w:val="24"/>
          <w:color w:val="auto"/>
        </w:rPr>
      </w:pPr>
    </w:p>
    <w:p>
      <w:pPr>
        <w:ind w:left="1920"/>
        <w:spacing w:after="0"/>
        <w:rPr>
          <w:sz w:val="20"/>
          <w:szCs w:val="20"/>
          <w:color w:val="auto"/>
        </w:rPr>
      </w:pPr>
      <w:r>
        <w:rPr>
          <w:rFonts w:ascii="Times New Roman" w:cs="Times New Roman" w:eastAsia="Times New Roman" w:hAnsi="Times New Roman"/>
          <w:sz w:val="22"/>
          <w:szCs w:val="22"/>
          <w:b w:val="1"/>
          <w:bCs w:val="1"/>
          <w:color w:val="auto"/>
        </w:rPr>
        <w:t>(Date of Event Which Requires Filing of this Statement)</w:t>
      </w:r>
    </w:p>
    <w:p>
      <w:pPr>
        <w:spacing w:after="0" w:line="200" w:lineRule="exact"/>
        <w:rPr>
          <w:sz w:val="24"/>
          <w:szCs w:val="24"/>
          <w:color w:val="auto"/>
        </w:rPr>
      </w:pPr>
    </w:p>
    <w:p>
      <w:pPr>
        <w:spacing w:after="0" w:line="361"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Check the appropriate box to designate the rule pursuant to which this Schedule is filed:</w:t>
      </w:r>
    </w:p>
    <w:p>
      <w:pPr>
        <w:spacing w:after="0" w:line="58" w:lineRule="exact"/>
        <w:rPr>
          <w:sz w:val="24"/>
          <w:szCs w:val="24"/>
          <w:color w:val="auto"/>
        </w:rPr>
      </w:pPr>
    </w:p>
    <w:p>
      <w:pPr>
        <w:ind w:left="380"/>
        <w:spacing w:after="0"/>
        <w:rPr>
          <w:sz w:val="20"/>
          <w:szCs w:val="20"/>
          <w:color w:val="auto"/>
        </w:rPr>
      </w:pPr>
      <w:r>
        <w:rPr>
          <w:rFonts w:ascii="Times New Roman" w:cs="Times New Roman" w:eastAsia="Times New Roman" w:hAnsi="Times New Roman"/>
          <w:sz w:val="22"/>
          <w:szCs w:val="22"/>
          <w:color w:val="auto"/>
        </w:rPr>
        <w:t>Rule 13d-1(b)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-151130</wp:posOffset>
            </wp:positionV>
            <wp:extent cx="128905" cy="12890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38" w:lineRule="exact"/>
        <w:rPr>
          <w:sz w:val="24"/>
          <w:szCs w:val="24"/>
          <w:color w:val="auto"/>
        </w:rPr>
      </w:pPr>
    </w:p>
    <w:p>
      <w:pPr>
        <w:ind w:left="380"/>
        <w:spacing w:after="0"/>
        <w:rPr>
          <w:sz w:val="20"/>
          <w:szCs w:val="20"/>
          <w:color w:val="auto"/>
        </w:rPr>
      </w:pPr>
      <w:r>
        <w:rPr>
          <w:rFonts w:ascii="Times New Roman" w:cs="Times New Roman" w:eastAsia="Times New Roman" w:hAnsi="Times New Roman"/>
          <w:sz w:val="22"/>
          <w:szCs w:val="22"/>
          <w:color w:val="auto"/>
        </w:rPr>
        <w:t>Rule 13d-1(c)</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-151130</wp:posOffset>
            </wp:positionV>
            <wp:extent cx="128905" cy="12890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38" w:lineRule="exact"/>
        <w:rPr>
          <w:sz w:val="24"/>
          <w:szCs w:val="24"/>
          <w:color w:val="auto"/>
        </w:rPr>
      </w:pPr>
    </w:p>
    <w:p>
      <w:pPr>
        <w:ind w:left="380"/>
        <w:spacing w:after="0"/>
        <w:rPr>
          <w:sz w:val="20"/>
          <w:szCs w:val="20"/>
          <w:color w:val="auto"/>
        </w:rPr>
      </w:pPr>
      <w:r>
        <w:rPr>
          <w:rFonts w:ascii="Times New Roman" w:cs="Times New Roman" w:eastAsia="Times New Roman" w:hAnsi="Times New Roman"/>
          <w:sz w:val="22"/>
          <w:szCs w:val="22"/>
          <w:color w:val="auto"/>
        </w:rPr>
        <w:t>Rule 13d-1(d)</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-32385</wp:posOffset>
            </wp:positionH>
            <wp:positionV relativeFrom="paragraph">
              <wp:posOffset>92710</wp:posOffset>
            </wp:positionV>
            <wp:extent cx="7157720" cy="4254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57720" cy="42545"/>
                    </a:xfrm>
                    <a:prstGeom prst="rect">
                      <a:avLst/>
                    </a:prstGeom>
                    <a:noFill/>
                  </pic:spPr>
                </pic:pic>
              </a:graphicData>
            </a:graphic>
          </wp:anchor>
        </w:drawing>
        <w:drawing>
          <wp:anchor simplePos="0" relativeHeight="251657728" behindDoc="1" locked="0" layoutInCell="0" allowOverlap="1">
            <wp:simplePos x="0" y="0"/>
            <wp:positionH relativeFrom="column">
              <wp:posOffset>-32385</wp:posOffset>
            </wp:positionH>
            <wp:positionV relativeFrom="paragraph">
              <wp:posOffset>178435</wp:posOffset>
            </wp:positionV>
            <wp:extent cx="7157720" cy="425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57720" cy="4254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-151130</wp:posOffset>
            </wp:positionV>
            <wp:extent cx="128905" cy="12890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13" w:lineRule="exact"/>
        <w:rPr>
          <w:sz w:val="24"/>
          <w:szCs w:val="24"/>
          <w:color w:val="auto"/>
        </w:rPr>
      </w:pPr>
    </w:p>
    <w:p>
      <w:pPr>
        <w:ind w:left="20"/>
        <w:spacing w:after="0"/>
        <w:rPr>
          <w:sz w:val="20"/>
          <w:szCs w:val="20"/>
          <w:color w:val="auto"/>
        </w:rPr>
      </w:pPr>
      <w:r>
        <w:rPr>
          <w:rFonts w:ascii="Times New Roman" w:cs="Times New Roman" w:eastAsia="Times New Roman" w:hAnsi="Times New Roman"/>
          <w:sz w:val="26"/>
          <w:szCs w:val="26"/>
          <w:color w:val="auto"/>
        </w:rPr>
        <w:t>SCHEDULE 13G</w:t>
      </w:r>
    </w:p>
    <w:p>
      <w:pPr>
        <w:spacing w:after="0" w:line="295"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CUSIP No.</w:t>
      </w:r>
    </w:p>
    <w:p>
      <w:pPr>
        <w:spacing w:after="0" w:line="200" w:lineRule="exact"/>
        <w:rPr>
          <w:sz w:val="24"/>
          <w:szCs w:val="24"/>
          <w:color w:val="auto"/>
        </w:rPr>
      </w:pPr>
    </w:p>
    <w:p>
      <w:pPr>
        <w:spacing w:after="0" w:line="361" w:lineRule="exact"/>
        <w:rPr>
          <w:sz w:val="24"/>
          <w:szCs w:val="24"/>
          <w:color w:val="auto"/>
        </w:rPr>
      </w:pPr>
    </w:p>
    <w:p>
      <w:pPr>
        <w:ind w:left="1120"/>
        <w:spacing w:after="0"/>
        <w:rPr>
          <w:sz w:val="20"/>
          <w:szCs w:val="20"/>
          <w:color w:val="auto"/>
        </w:rPr>
      </w:pPr>
      <w:r>
        <w:rPr>
          <w:rFonts w:ascii="Times New Roman" w:cs="Times New Roman" w:eastAsia="Times New Roman" w:hAnsi="Times New Roman"/>
          <w:sz w:val="22"/>
          <w:szCs w:val="22"/>
          <w:color w:val="auto"/>
        </w:rPr>
        <w:t>Names of Reporting Persons</w:t>
      </w:r>
    </w:p>
    <w:p>
      <w:pPr>
        <w:spacing w:after="0" w:line="4"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1</w:t>
      </w:r>
    </w:p>
    <w:p>
      <w:pPr>
        <w:ind w:left="1120"/>
        <w:spacing w:after="0"/>
        <w:rPr>
          <w:sz w:val="20"/>
          <w:szCs w:val="20"/>
          <w:color w:val="auto"/>
        </w:rPr>
      </w:pPr>
      <w:r>
        <w:rPr>
          <w:rFonts w:ascii="Times New Roman" w:cs="Times New Roman" w:eastAsia="Times New Roman" w:hAnsi="Times New Roman"/>
          <w:sz w:val="22"/>
          <w:szCs w:val="22"/>
          <w:color w:val="auto"/>
        </w:rPr>
        <w:t>Clearbridge Investments, LLC</w:t>
      </w:r>
    </w:p>
    <w:p>
      <w:pPr>
        <w:spacing w:after="0" w:line="20" w:lineRule="exact"/>
        <w:rPr>
          <w:sz w:val="24"/>
          <w:szCs w:val="24"/>
          <w:color w:val="auto"/>
        </w:rPr>
      </w:pPr>
    </w:p>
    <w:p>
      <w:pPr>
        <w:ind w:left="1120"/>
        <w:spacing w:after="0"/>
        <w:rPr>
          <w:sz w:val="20"/>
          <w:szCs w:val="20"/>
          <w:color w:val="auto"/>
        </w:rPr>
      </w:pPr>
      <w:r>
        <w:rPr>
          <w:rFonts w:ascii="Times New Roman" w:cs="Times New Roman" w:eastAsia="Times New Roman" w:hAnsi="Times New Roman"/>
          <w:sz w:val="22"/>
          <w:szCs w:val="22"/>
          <w:color w:val="auto"/>
        </w:rPr>
        <w:t>Check the appropriate box if a member of a Group (see instructions)</w:t>
      </w:r>
    </w:p>
    <w:p>
      <w:pPr>
        <w:spacing w:after="0" w:line="33" w:lineRule="exact"/>
        <w:rPr>
          <w:sz w:val="24"/>
          <w:szCs w:val="24"/>
          <w:color w:val="auto"/>
        </w:rPr>
      </w:pPr>
    </w:p>
    <w:p>
      <w:pPr>
        <w:ind w:left="1120" w:hanging="1112"/>
        <w:spacing w:after="0"/>
        <w:tabs>
          <w:tab w:leader="none" w:pos="1120" w:val="left"/>
        </w:tabs>
        <w:numPr>
          <w:ilvl w:val="0"/>
          <w:numId w:val="1"/>
        </w:numPr>
        <w:rPr>
          <w:rFonts w:ascii="Times New Roman" w:cs="Times New Roman" w:eastAsia="Times New Roman" w:hAnsi="Times New Roman"/>
          <w:sz w:val="43"/>
          <w:szCs w:val="43"/>
          <w:color w:val="auto"/>
          <w:vertAlign w:val="superscript"/>
        </w:rPr>
      </w:pPr>
      <w:r>
        <w:rPr>
          <w:sz w:val="1"/>
          <w:szCs w:val="1"/>
          <w:color w:val="auto"/>
        </w:rPr>
        <w:drawing>
          <wp:inline distT="0" distB="0" distL="0" distR="0">
            <wp:extent cx="128905" cy="128270"/>
            <wp:effectExtent l="0" t="0" r="0" b="0"/>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128905" cy="128270"/>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w:t>
      </w:r>
    </w:p>
    <w:p>
      <w:pPr>
        <w:ind w:left="1120"/>
        <w:spacing w:after="0"/>
        <w:rPr>
          <w:rFonts w:ascii="Times New Roman" w:cs="Times New Roman" w:eastAsia="Times New Roman" w:hAnsi="Times New Roman"/>
          <w:sz w:val="43"/>
          <w:szCs w:val="43"/>
          <w:color w:val="auto"/>
          <w:vertAlign w:val="superscript"/>
        </w:rPr>
      </w:pPr>
      <w:r>
        <w:rPr>
          <w:rFonts w:ascii="Times New Roman" w:cs="Times New Roman" w:eastAsia="Times New Roman" w:hAnsi="Times New Roman"/>
          <w:sz w:val="1"/>
          <w:szCs w:val="1"/>
          <w:color w:val="auto"/>
          <w:vertAlign w:val="superscript"/>
        </w:rPr>
        <w:drawing>
          <wp:inline distT="0" distB="0" distL="0" distR="0">
            <wp:extent cx="128905" cy="128905"/>
            <wp:effectExtent l="0" t="0" r="0" b="0"/>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(b)</w:t>
      </w:r>
    </w:p>
    <w:p>
      <w:pPr>
        <w:spacing w:after="0" w:line="30" w:lineRule="exact"/>
        <w:rPr>
          <w:sz w:val="24"/>
          <w:szCs w:val="24"/>
          <w:color w:val="auto"/>
        </w:rPr>
      </w:pPr>
    </w:p>
    <w:p>
      <w:pPr>
        <w:ind w:left="1120" w:hanging="1112"/>
        <w:spacing w:after="0"/>
        <w:tabs>
          <w:tab w:leader="none" w:pos="1120" w:val="left"/>
        </w:tabs>
        <w:numPr>
          <w:ilvl w:val="0"/>
          <w:numId w:val="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Sec Use Only</w:t>
      </w:r>
    </w:p>
    <w:p>
      <w:pPr>
        <w:spacing w:after="0" w:line="44" w:lineRule="exact"/>
        <w:rPr>
          <w:sz w:val="24"/>
          <w:szCs w:val="24"/>
          <w:color w:val="auto"/>
        </w:rPr>
      </w:pPr>
    </w:p>
    <w:tbl>
      <w:tblPr>
        <w:tblLayout w:type="fixed"/>
        <w:tblInd w:w="0" w:type="dxa"/>
        <w:tblCellMar>
          <w:top w:w="0" w:type="dxa"/>
          <w:left w:w="0" w:type="dxa"/>
          <w:bottom w:w="0" w:type="dxa"/>
          <w:right w:w="0" w:type="dxa"/>
        </w:tblCellMar>
      </w:tblPr>
      <w:tr>
        <w:trPr>
          <w:trHeight w:val="282"/>
        </w:trPr>
        <w:tc>
          <w:tcPr>
            <w:tcW w:w="1100" w:type="dxa"/>
            <w:vAlign w:val="bottom"/>
            <w:vMerge w:val="restart"/>
          </w:tcPr>
          <w:p>
            <w:pPr>
              <w:spacing w:after="0"/>
              <w:rPr>
                <w:sz w:val="20"/>
                <w:szCs w:val="20"/>
                <w:color w:val="auto"/>
              </w:rPr>
            </w:pPr>
            <w:r>
              <w:rPr>
                <w:rFonts w:ascii="Times New Roman" w:cs="Times New Roman" w:eastAsia="Times New Roman" w:hAnsi="Times New Roman"/>
                <w:sz w:val="22"/>
                <w:szCs w:val="22"/>
                <w:color w:val="auto"/>
              </w:rPr>
              <w:t>4</w:t>
            </w:r>
          </w:p>
        </w:tc>
        <w:tc>
          <w:tcPr>
            <w:tcW w:w="3180" w:type="dxa"/>
            <w:vAlign w:val="bottom"/>
          </w:tcPr>
          <w:p>
            <w:pPr>
              <w:ind w:left="20"/>
              <w:spacing w:after="0"/>
              <w:rPr>
                <w:sz w:val="20"/>
                <w:szCs w:val="20"/>
                <w:color w:val="auto"/>
              </w:rPr>
            </w:pPr>
            <w:r>
              <w:rPr>
                <w:rFonts w:ascii="Times New Roman" w:cs="Times New Roman" w:eastAsia="Times New Roman" w:hAnsi="Times New Roman"/>
                <w:sz w:val="22"/>
                <w:szCs w:val="22"/>
                <w:color w:val="auto"/>
                <w:w w:val="97"/>
              </w:rPr>
              <w:t>Citizenship or Place of Organization</w:t>
            </w:r>
          </w:p>
        </w:tc>
        <w:tc>
          <w:tcPr>
            <w:tcW w:w="0" w:type="dxa"/>
            <w:vAlign w:val="bottom"/>
          </w:tcPr>
          <w:p>
            <w:pPr>
              <w:spacing w:after="0"/>
              <w:rPr>
                <w:sz w:val="1"/>
                <w:szCs w:val="1"/>
                <w:color w:val="auto"/>
              </w:rPr>
            </w:pPr>
          </w:p>
        </w:tc>
      </w:tr>
      <w:tr>
        <w:trPr>
          <w:trHeight w:val="243"/>
        </w:trPr>
        <w:tc>
          <w:tcPr>
            <w:tcW w:w="1100" w:type="dxa"/>
            <w:vAlign w:val="bottom"/>
            <w:vMerge w:val="continue"/>
          </w:tcPr>
          <w:p>
            <w:pPr>
              <w:spacing w:after="0"/>
              <w:rPr>
                <w:sz w:val="21"/>
                <w:szCs w:val="21"/>
                <w:color w:val="auto"/>
              </w:rPr>
            </w:pPr>
          </w:p>
        </w:tc>
        <w:tc>
          <w:tcPr>
            <w:tcW w:w="3180" w:type="dxa"/>
            <w:vAlign w:val="bottom"/>
            <w:vMerge w:val="restart"/>
          </w:tcPr>
          <w:p>
            <w:pPr>
              <w:ind w:left="20"/>
              <w:spacing w:after="0"/>
              <w:rPr>
                <w:sz w:val="20"/>
                <w:szCs w:val="20"/>
                <w:color w:val="auto"/>
              </w:rPr>
            </w:pPr>
            <w:r>
              <w:rPr>
                <w:rFonts w:ascii="Times New Roman" w:cs="Times New Roman" w:eastAsia="Times New Roman" w:hAnsi="Times New Roman"/>
                <w:sz w:val="22"/>
                <w:szCs w:val="22"/>
                <w:color w:val="auto"/>
              </w:rPr>
              <w:t>DELAWARE</w:t>
            </w:r>
          </w:p>
        </w:tc>
        <w:tc>
          <w:tcPr>
            <w:tcW w:w="0" w:type="dxa"/>
            <w:vAlign w:val="bottom"/>
          </w:tcPr>
          <w:p>
            <w:pPr>
              <w:spacing w:after="0"/>
              <w:rPr>
                <w:sz w:val="1"/>
                <w:szCs w:val="1"/>
                <w:color w:val="auto"/>
              </w:rPr>
            </w:pPr>
          </w:p>
        </w:tc>
      </w:tr>
      <w:tr>
        <w:trPr>
          <w:trHeight w:val="243"/>
        </w:trPr>
        <w:tc>
          <w:tcPr>
            <w:tcW w:w="1100" w:type="dxa"/>
            <w:vAlign w:val="bottom"/>
          </w:tcPr>
          <w:p>
            <w:pPr>
              <w:spacing w:after="0"/>
              <w:rPr>
                <w:sz w:val="21"/>
                <w:szCs w:val="21"/>
                <w:color w:val="auto"/>
              </w:rPr>
            </w:pPr>
          </w:p>
        </w:tc>
        <w:tc>
          <w:tcPr>
            <w:tcW w:w="3180" w:type="dxa"/>
            <w:vAlign w:val="bottom"/>
            <w:vMerge w:val="continue"/>
          </w:tcPr>
          <w:p>
            <w:pPr>
              <w:spacing w:after="0"/>
              <w:rPr>
                <w:sz w:val="21"/>
                <w:szCs w:val="21"/>
                <w:color w:val="auto"/>
              </w:rPr>
            </w:pPr>
          </w:p>
        </w:tc>
        <w:tc>
          <w:tcPr>
            <w:tcW w:w="0" w:type="dxa"/>
            <w:vAlign w:val="bottom"/>
          </w:tcPr>
          <w:p>
            <w:pPr>
              <w:spacing w:after="0"/>
              <w:rPr>
                <w:sz w:val="1"/>
                <w:szCs w:val="1"/>
                <w:color w:val="auto"/>
              </w:rPr>
            </w:pPr>
          </w:p>
        </w:tc>
      </w:tr>
      <w:tr>
        <w:trPr>
          <w:trHeight w:val="271"/>
        </w:trPr>
        <w:tc>
          <w:tcPr>
            <w:tcW w:w="1100" w:type="dxa"/>
            <w:vAlign w:val="bottom"/>
          </w:tcPr>
          <w:p>
            <w:pPr>
              <w:spacing w:after="0"/>
              <w:rPr>
                <w:sz w:val="20"/>
                <w:szCs w:val="20"/>
                <w:color w:val="auto"/>
              </w:rPr>
            </w:pPr>
            <w:r>
              <w:rPr>
                <w:rFonts w:ascii="Times New Roman" w:cs="Times New Roman" w:eastAsia="Times New Roman" w:hAnsi="Times New Roman"/>
                <w:sz w:val="22"/>
                <w:szCs w:val="22"/>
                <w:color w:val="auto"/>
              </w:rPr>
              <w:t>Number of</w:t>
            </w:r>
          </w:p>
        </w:tc>
        <w:tc>
          <w:tcPr>
            <w:tcW w:w="3180" w:type="dxa"/>
            <w:vAlign w:val="bottom"/>
          </w:tcPr>
          <w:p>
            <w:pPr>
              <w:ind w:left="300"/>
              <w:spacing w:after="0"/>
              <w:rPr>
                <w:sz w:val="20"/>
                <w:szCs w:val="20"/>
                <w:color w:val="auto"/>
              </w:rPr>
            </w:pPr>
            <w:r>
              <w:rPr>
                <w:rFonts w:ascii="Times New Roman" w:cs="Times New Roman" w:eastAsia="Times New Roman" w:hAnsi="Times New Roman"/>
                <w:sz w:val="22"/>
                <w:szCs w:val="22"/>
                <w:color w:val="auto"/>
              </w:rPr>
              <w:t>Sole Voting Power</w:t>
            </w:r>
          </w:p>
        </w:tc>
        <w:tc>
          <w:tcPr>
            <w:tcW w:w="0" w:type="dxa"/>
            <w:vAlign w:val="bottom"/>
          </w:tcPr>
          <w:p>
            <w:pPr>
              <w:spacing w:after="0"/>
              <w:rPr>
                <w:sz w:val="1"/>
                <w:szCs w:val="1"/>
                <w:color w:val="auto"/>
              </w:rPr>
            </w:pPr>
          </w:p>
        </w:tc>
      </w:tr>
      <w:tr>
        <w:trPr>
          <w:trHeight w:val="243"/>
        </w:trPr>
        <w:tc>
          <w:tcPr>
            <w:tcW w:w="1100" w:type="dxa"/>
            <w:vAlign w:val="bottom"/>
          </w:tcPr>
          <w:p>
            <w:pPr>
              <w:spacing w:after="0" w:line="243" w:lineRule="exact"/>
              <w:rPr>
                <w:sz w:val="20"/>
                <w:szCs w:val="20"/>
                <w:color w:val="auto"/>
              </w:rPr>
            </w:pPr>
            <w:r>
              <w:rPr>
                <w:rFonts w:ascii="Times New Roman" w:cs="Times New Roman" w:eastAsia="Times New Roman" w:hAnsi="Times New Roman"/>
                <w:sz w:val="22"/>
                <w:szCs w:val="22"/>
                <w:color w:val="auto"/>
              </w:rPr>
              <w:t>Shares</w:t>
            </w:r>
          </w:p>
        </w:tc>
        <w:tc>
          <w:tcPr>
            <w:tcW w:w="3180" w:type="dxa"/>
            <w:vAlign w:val="bottom"/>
          </w:tcPr>
          <w:p>
            <w:pPr>
              <w:ind w:left="60"/>
              <w:spacing w:after="0" w:line="243" w:lineRule="exact"/>
              <w:rPr>
                <w:sz w:val="20"/>
                <w:szCs w:val="20"/>
                <w:color w:val="auto"/>
              </w:rPr>
            </w:pPr>
            <w:r>
              <w:rPr>
                <w:rFonts w:ascii="Times New Roman" w:cs="Times New Roman" w:eastAsia="Times New Roman" w:hAnsi="Times New Roman"/>
                <w:sz w:val="22"/>
                <w:szCs w:val="22"/>
                <w:color w:val="auto"/>
              </w:rPr>
              <w:t>5</w:t>
            </w:r>
          </w:p>
        </w:tc>
        <w:tc>
          <w:tcPr>
            <w:tcW w:w="0" w:type="dxa"/>
            <w:vAlign w:val="bottom"/>
          </w:tcPr>
          <w:p>
            <w:pPr>
              <w:spacing w:after="0"/>
              <w:rPr>
                <w:sz w:val="1"/>
                <w:szCs w:val="1"/>
                <w:color w:val="auto"/>
              </w:rPr>
            </w:pPr>
          </w:p>
        </w:tc>
      </w:tr>
      <w:tr>
        <w:trPr>
          <w:trHeight w:val="309"/>
        </w:trPr>
        <w:tc>
          <w:tcPr>
            <w:tcW w:w="1100" w:type="dxa"/>
            <w:vAlign w:val="bottom"/>
          </w:tcPr>
          <w:p>
            <w:pPr>
              <w:spacing w:after="0"/>
              <w:rPr>
                <w:sz w:val="20"/>
                <w:szCs w:val="20"/>
                <w:color w:val="auto"/>
              </w:rPr>
            </w:pPr>
            <w:r>
              <w:rPr>
                <w:rFonts w:ascii="Times New Roman" w:cs="Times New Roman" w:eastAsia="Times New Roman" w:hAnsi="Times New Roman"/>
                <w:sz w:val="22"/>
                <w:szCs w:val="22"/>
                <w:color w:val="auto"/>
              </w:rPr>
              <w:t>Beneficially</w:t>
            </w:r>
          </w:p>
        </w:tc>
        <w:tc>
          <w:tcPr>
            <w:tcW w:w="3180" w:type="dxa"/>
            <w:vAlign w:val="bottom"/>
          </w:tcPr>
          <w:p>
            <w:pPr>
              <w:ind w:left="300"/>
              <w:spacing w:after="0"/>
              <w:rPr>
                <w:sz w:val="20"/>
                <w:szCs w:val="20"/>
                <w:color w:val="auto"/>
              </w:rPr>
            </w:pPr>
            <w:r>
              <w:rPr>
                <w:rFonts w:ascii="Times New Roman" w:cs="Times New Roman" w:eastAsia="Times New Roman" w:hAnsi="Times New Roman"/>
                <w:sz w:val="22"/>
                <w:szCs w:val="22"/>
                <w:color w:val="auto"/>
              </w:rPr>
              <w:t>13,325.00</w:t>
            </w:r>
          </w:p>
        </w:tc>
        <w:tc>
          <w:tcPr>
            <w:tcW w:w="0" w:type="dxa"/>
            <w:vAlign w:val="bottom"/>
          </w:tcPr>
          <w:p>
            <w:pPr>
              <w:spacing w:after="0"/>
              <w:rPr>
                <w:sz w:val="1"/>
                <w:szCs w:val="1"/>
                <w:color w:val="auto"/>
              </w:rPr>
            </w:pPr>
          </w:p>
        </w:tc>
      </w:tr>
    </w:tbl>
    <w:p>
      <w:pPr>
        <w:sectPr>
          <w:pgSz w:w="11900" w:h="16838" w:orient="portrait"/>
          <w:cols w:equalWidth="0" w:num="1">
            <w:col w:w="10099"/>
          </w:cols>
          <w:pgMar w:left="360" w:top="866" w:right="1440" w:bottom="0" w:gutter="0" w:footer="0" w:header="0"/>
        </w:sectPr>
      </w:pPr>
    </w:p>
    <w:bookmarkStart w:id="1" w:name="page2"/>
    <w:bookmarkEnd w:id="1"/>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53"/>
        </w:trPr>
        <w:tc>
          <w:tcPr>
            <w:tcW w:w="1040" w:type="dxa"/>
            <w:vAlign w:val="bottom"/>
          </w:tcPr>
          <w:p>
            <w:pPr>
              <w:spacing w:after="0"/>
              <w:rPr>
                <w:sz w:val="20"/>
                <w:szCs w:val="20"/>
                <w:color w:val="auto"/>
              </w:rPr>
            </w:pPr>
            <w:r>
              <w:rPr>
                <w:rFonts w:ascii="Times New Roman" w:cs="Times New Roman" w:eastAsia="Times New Roman" w:hAnsi="Times New Roman"/>
                <w:sz w:val="22"/>
                <w:szCs w:val="22"/>
                <w:color w:val="auto"/>
              </w:rPr>
              <w:t>Owned by</w:t>
            </w:r>
          </w:p>
        </w:tc>
        <w:tc>
          <w:tcPr>
            <w:tcW w:w="30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6</w:t>
            </w:r>
          </w:p>
        </w:tc>
        <w:tc>
          <w:tcPr>
            <w:tcW w:w="2080" w:type="dxa"/>
            <w:vAlign w:val="bottom"/>
          </w:tcPr>
          <w:p>
            <w:pPr>
              <w:ind w:left="60"/>
              <w:spacing w:after="0"/>
              <w:rPr>
                <w:sz w:val="20"/>
                <w:szCs w:val="20"/>
                <w:color w:val="auto"/>
              </w:rPr>
            </w:pPr>
            <w:r>
              <w:rPr>
                <w:rFonts w:ascii="Times New Roman" w:cs="Times New Roman" w:eastAsia="Times New Roman" w:hAnsi="Times New Roman"/>
                <w:sz w:val="22"/>
                <w:szCs w:val="22"/>
                <w:color w:val="auto"/>
              </w:rPr>
              <w:t>Shared Voting Power</w:t>
            </w:r>
          </w:p>
        </w:tc>
        <w:tc>
          <w:tcPr>
            <w:tcW w:w="0" w:type="dxa"/>
            <w:vAlign w:val="bottom"/>
          </w:tcPr>
          <w:p>
            <w:pPr>
              <w:spacing w:after="0"/>
              <w:rPr>
                <w:sz w:val="1"/>
                <w:szCs w:val="1"/>
                <w:color w:val="auto"/>
              </w:rPr>
            </w:pPr>
          </w:p>
        </w:tc>
      </w:tr>
      <w:tr>
        <w:trPr>
          <w:trHeight w:val="243"/>
        </w:trPr>
        <w:tc>
          <w:tcPr>
            <w:tcW w:w="1040" w:type="dxa"/>
            <w:vAlign w:val="bottom"/>
          </w:tcPr>
          <w:p>
            <w:pPr>
              <w:spacing w:after="0" w:line="243" w:lineRule="exact"/>
              <w:rPr>
                <w:sz w:val="20"/>
                <w:szCs w:val="20"/>
                <w:color w:val="auto"/>
              </w:rPr>
            </w:pPr>
            <w:r>
              <w:rPr>
                <w:rFonts w:ascii="Times New Roman" w:cs="Times New Roman" w:eastAsia="Times New Roman" w:hAnsi="Times New Roman"/>
                <w:sz w:val="22"/>
                <w:szCs w:val="22"/>
                <w:color w:val="auto"/>
              </w:rPr>
              <w:t>Each</w:t>
            </w:r>
          </w:p>
        </w:tc>
        <w:tc>
          <w:tcPr>
            <w:tcW w:w="300" w:type="dxa"/>
            <w:vAlign w:val="bottom"/>
          </w:tcPr>
          <w:p>
            <w:pPr>
              <w:spacing w:after="0"/>
              <w:rPr>
                <w:sz w:val="21"/>
                <w:szCs w:val="21"/>
                <w:color w:val="auto"/>
              </w:rPr>
            </w:pPr>
          </w:p>
        </w:tc>
        <w:tc>
          <w:tcPr>
            <w:tcW w:w="20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1040" w:type="dxa"/>
            <w:vAlign w:val="bottom"/>
          </w:tcPr>
          <w:p>
            <w:pPr>
              <w:spacing w:after="0" w:line="243" w:lineRule="exact"/>
              <w:rPr>
                <w:sz w:val="20"/>
                <w:szCs w:val="20"/>
                <w:color w:val="auto"/>
              </w:rPr>
            </w:pPr>
            <w:r>
              <w:rPr>
                <w:rFonts w:ascii="Times New Roman" w:cs="Times New Roman" w:eastAsia="Times New Roman" w:hAnsi="Times New Roman"/>
                <w:sz w:val="22"/>
                <w:szCs w:val="22"/>
                <w:color w:val="auto"/>
              </w:rPr>
              <w:t>Reporting</w:t>
            </w:r>
          </w:p>
        </w:tc>
        <w:tc>
          <w:tcPr>
            <w:tcW w:w="300" w:type="dxa"/>
            <w:vAlign w:val="bottom"/>
          </w:tcPr>
          <w:p>
            <w:pPr>
              <w:spacing w:after="0"/>
              <w:rPr>
                <w:sz w:val="21"/>
                <w:szCs w:val="21"/>
                <w:color w:val="auto"/>
              </w:rPr>
            </w:pPr>
          </w:p>
        </w:tc>
        <w:tc>
          <w:tcPr>
            <w:tcW w:w="2080" w:type="dxa"/>
            <w:vAlign w:val="bottom"/>
          </w:tcPr>
          <w:p>
            <w:pPr>
              <w:ind w:left="60"/>
              <w:spacing w:after="0" w:line="243" w:lineRule="exact"/>
              <w:rPr>
                <w:sz w:val="20"/>
                <w:szCs w:val="20"/>
                <w:color w:val="auto"/>
              </w:rPr>
            </w:pPr>
            <w:r>
              <w:rPr>
                <w:rFonts w:ascii="Times New Roman" w:cs="Times New Roman" w:eastAsia="Times New Roman" w:hAnsi="Times New Roman"/>
                <w:sz w:val="22"/>
                <w:szCs w:val="22"/>
                <w:color w:val="auto"/>
              </w:rPr>
              <w:t>0.00</w:t>
            </w:r>
          </w:p>
        </w:tc>
        <w:tc>
          <w:tcPr>
            <w:tcW w:w="0" w:type="dxa"/>
            <w:vAlign w:val="bottom"/>
          </w:tcPr>
          <w:p>
            <w:pPr>
              <w:spacing w:after="0"/>
              <w:rPr>
                <w:sz w:val="1"/>
                <w:szCs w:val="1"/>
                <w:color w:val="auto"/>
              </w:rPr>
            </w:pPr>
          </w:p>
        </w:tc>
      </w:tr>
      <w:tr>
        <w:trPr>
          <w:trHeight w:val="270"/>
        </w:trPr>
        <w:tc>
          <w:tcPr>
            <w:tcW w:w="1040" w:type="dxa"/>
            <w:vAlign w:val="bottom"/>
          </w:tcPr>
          <w:p>
            <w:pPr>
              <w:spacing w:after="0"/>
              <w:rPr>
                <w:sz w:val="20"/>
                <w:szCs w:val="20"/>
                <w:color w:val="auto"/>
              </w:rPr>
            </w:pPr>
            <w:r>
              <w:rPr>
                <w:rFonts w:ascii="Times New Roman" w:cs="Times New Roman" w:eastAsia="Times New Roman" w:hAnsi="Times New Roman"/>
                <w:sz w:val="22"/>
                <w:szCs w:val="22"/>
                <w:color w:val="auto"/>
              </w:rPr>
              <w:t>Person</w:t>
            </w:r>
          </w:p>
        </w:tc>
        <w:tc>
          <w:tcPr>
            <w:tcW w:w="300" w:type="dxa"/>
            <w:vAlign w:val="bottom"/>
          </w:tcPr>
          <w:p>
            <w:pPr>
              <w:spacing w:after="0"/>
              <w:rPr>
                <w:sz w:val="23"/>
                <w:szCs w:val="23"/>
                <w:color w:val="auto"/>
              </w:rPr>
            </w:pPr>
          </w:p>
        </w:tc>
        <w:tc>
          <w:tcPr>
            <w:tcW w:w="2080" w:type="dxa"/>
            <w:vAlign w:val="bottom"/>
          </w:tcPr>
          <w:p>
            <w:pPr>
              <w:ind w:left="60"/>
              <w:spacing w:after="0"/>
              <w:rPr>
                <w:sz w:val="20"/>
                <w:szCs w:val="20"/>
                <w:color w:val="auto"/>
              </w:rPr>
            </w:pPr>
            <w:r>
              <w:rPr>
                <w:rFonts w:ascii="Times New Roman" w:cs="Times New Roman" w:eastAsia="Times New Roman" w:hAnsi="Times New Roman"/>
                <w:sz w:val="22"/>
                <w:szCs w:val="22"/>
                <w:color w:val="auto"/>
                <w:w w:val="96"/>
              </w:rPr>
              <w:t>Sole Dispositive Power</w:t>
            </w:r>
          </w:p>
        </w:tc>
        <w:tc>
          <w:tcPr>
            <w:tcW w:w="0" w:type="dxa"/>
            <w:vAlign w:val="bottom"/>
          </w:tcPr>
          <w:p>
            <w:pPr>
              <w:spacing w:after="0"/>
              <w:rPr>
                <w:sz w:val="1"/>
                <w:szCs w:val="1"/>
                <w:color w:val="auto"/>
              </w:rPr>
            </w:pPr>
          </w:p>
        </w:tc>
      </w:tr>
      <w:tr>
        <w:trPr>
          <w:trHeight w:val="309"/>
        </w:trPr>
        <w:tc>
          <w:tcPr>
            <w:tcW w:w="1040" w:type="dxa"/>
            <w:vAlign w:val="bottom"/>
          </w:tcPr>
          <w:p>
            <w:pPr>
              <w:spacing w:after="0"/>
              <w:rPr>
                <w:sz w:val="20"/>
                <w:szCs w:val="20"/>
                <w:color w:val="auto"/>
              </w:rPr>
            </w:pPr>
            <w:r>
              <w:rPr>
                <w:rFonts w:ascii="Times New Roman" w:cs="Times New Roman" w:eastAsia="Times New Roman" w:hAnsi="Times New Roman"/>
                <w:sz w:val="22"/>
                <w:szCs w:val="22"/>
                <w:color w:val="auto"/>
              </w:rPr>
              <w:t>With:</w:t>
            </w:r>
          </w:p>
        </w:tc>
        <w:tc>
          <w:tcPr>
            <w:tcW w:w="30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7</w:t>
            </w:r>
          </w:p>
        </w:tc>
        <w:tc>
          <w:tcPr>
            <w:tcW w:w="2080" w:type="dxa"/>
            <w:vAlign w:val="bottom"/>
            <w:vMerge w:val="restart"/>
          </w:tcPr>
          <w:p>
            <w:pPr>
              <w:ind w:left="60"/>
              <w:spacing w:after="0"/>
              <w:rPr>
                <w:sz w:val="20"/>
                <w:szCs w:val="20"/>
                <w:color w:val="auto"/>
              </w:rPr>
            </w:pPr>
            <w:r>
              <w:rPr>
                <w:rFonts w:ascii="Times New Roman" w:cs="Times New Roman" w:eastAsia="Times New Roman" w:hAnsi="Times New Roman"/>
                <w:sz w:val="22"/>
                <w:szCs w:val="22"/>
                <w:color w:val="auto"/>
              </w:rPr>
              <w:t>13,325.00</w:t>
            </w:r>
          </w:p>
        </w:tc>
        <w:tc>
          <w:tcPr>
            <w:tcW w:w="0" w:type="dxa"/>
            <w:vAlign w:val="bottom"/>
          </w:tcPr>
          <w:p>
            <w:pPr>
              <w:spacing w:after="0"/>
              <w:rPr>
                <w:sz w:val="1"/>
                <w:szCs w:val="1"/>
                <w:color w:val="auto"/>
              </w:rPr>
            </w:pPr>
          </w:p>
        </w:tc>
      </w:tr>
      <w:tr>
        <w:trPr>
          <w:trHeight w:val="243"/>
        </w:trPr>
        <w:tc>
          <w:tcPr>
            <w:tcW w:w="104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2080" w:type="dxa"/>
            <w:vAlign w:val="bottom"/>
            <w:vMerge w:val="continue"/>
          </w:tcPr>
          <w:p>
            <w:pPr>
              <w:spacing w:after="0"/>
              <w:rPr>
                <w:sz w:val="21"/>
                <w:szCs w:val="21"/>
                <w:color w:val="auto"/>
              </w:rPr>
            </w:pPr>
          </w:p>
        </w:tc>
        <w:tc>
          <w:tcPr>
            <w:tcW w:w="0" w:type="dxa"/>
            <w:vAlign w:val="bottom"/>
          </w:tcPr>
          <w:p>
            <w:pPr>
              <w:spacing w:after="0"/>
              <w:rPr>
                <w:sz w:val="1"/>
                <w:szCs w:val="1"/>
                <w:color w:val="auto"/>
              </w:rPr>
            </w:pPr>
          </w:p>
        </w:tc>
      </w:tr>
      <w:tr>
        <w:trPr>
          <w:trHeight w:val="258"/>
        </w:trPr>
        <w:tc>
          <w:tcPr>
            <w:tcW w:w="104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2080" w:type="dxa"/>
            <w:vAlign w:val="bottom"/>
          </w:tcPr>
          <w:p>
            <w:pPr>
              <w:ind w:left="60"/>
              <w:spacing w:after="0"/>
              <w:rPr>
                <w:sz w:val="20"/>
                <w:szCs w:val="20"/>
                <w:color w:val="auto"/>
              </w:rPr>
            </w:pPr>
            <w:r>
              <w:rPr>
                <w:rFonts w:ascii="Times New Roman" w:cs="Times New Roman" w:eastAsia="Times New Roman" w:hAnsi="Times New Roman"/>
                <w:sz w:val="22"/>
                <w:szCs w:val="22"/>
                <w:color w:val="auto"/>
              </w:rPr>
              <w:t>Shared Dispositive</w:t>
            </w:r>
          </w:p>
        </w:tc>
        <w:tc>
          <w:tcPr>
            <w:tcW w:w="0" w:type="dxa"/>
            <w:vAlign w:val="bottom"/>
          </w:tcPr>
          <w:p>
            <w:pPr>
              <w:spacing w:after="0"/>
              <w:rPr>
                <w:sz w:val="1"/>
                <w:szCs w:val="1"/>
                <w:color w:val="auto"/>
              </w:rPr>
            </w:pPr>
          </w:p>
        </w:tc>
      </w:tr>
      <w:tr>
        <w:trPr>
          <w:trHeight w:val="404"/>
        </w:trPr>
        <w:tc>
          <w:tcPr>
            <w:tcW w:w="1040" w:type="dxa"/>
            <w:vAlign w:val="bottom"/>
          </w:tcPr>
          <w:p>
            <w:pPr>
              <w:spacing w:after="0"/>
              <w:rPr>
                <w:sz w:val="24"/>
                <w:szCs w:val="24"/>
                <w:color w:val="auto"/>
              </w:rPr>
            </w:pPr>
          </w:p>
        </w:tc>
        <w:tc>
          <w:tcPr>
            <w:tcW w:w="30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8</w:t>
            </w:r>
          </w:p>
        </w:tc>
        <w:tc>
          <w:tcPr>
            <w:tcW w:w="2080" w:type="dxa"/>
            <w:vAlign w:val="bottom"/>
          </w:tcPr>
          <w:p>
            <w:pPr>
              <w:ind w:left="60"/>
              <w:spacing w:after="0"/>
              <w:rPr>
                <w:sz w:val="20"/>
                <w:szCs w:val="20"/>
                <w:color w:val="auto"/>
              </w:rPr>
            </w:pPr>
            <w:r>
              <w:rPr>
                <w:rFonts w:ascii="Times New Roman" w:cs="Times New Roman" w:eastAsia="Times New Roman" w:hAnsi="Times New Roman"/>
                <w:sz w:val="22"/>
                <w:szCs w:val="22"/>
                <w:color w:val="auto"/>
              </w:rPr>
              <w:t>Power</w:t>
            </w:r>
          </w:p>
        </w:tc>
        <w:tc>
          <w:tcPr>
            <w:tcW w:w="0" w:type="dxa"/>
            <w:vAlign w:val="bottom"/>
          </w:tcPr>
          <w:p>
            <w:pPr>
              <w:spacing w:after="0"/>
              <w:rPr>
                <w:sz w:val="1"/>
                <w:szCs w:val="1"/>
                <w:color w:val="auto"/>
              </w:rPr>
            </w:pPr>
          </w:p>
        </w:tc>
      </w:tr>
      <w:tr>
        <w:trPr>
          <w:trHeight w:val="364"/>
        </w:trPr>
        <w:tc>
          <w:tcPr>
            <w:tcW w:w="104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2080" w:type="dxa"/>
            <w:vAlign w:val="bottom"/>
          </w:tcPr>
          <w:p>
            <w:pPr>
              <w:ind w:left="60"/>
              <w:spacing w:after="0"/>
              <w:rPr>
                <w:sz w:val="20"/>
                <w:szCs w:val="20"/>
                <w:color w:val="auto"/>
              </w:rPr>
            </w:pPr>
            <w:r>
              <w:rPr>
                <w:rFonts w:ascii="Times New Roman" w:cs="Times New Roman" w:eastAsia="Times New Roman" w:hAnsi="Times New Roman"/>
                <w:sz w:val="22"/>
                <w:szCs w:val="22"/>
                <w:color w:val="auto"/>
              </w:rPr>
              <w:t>0.00</w:t>
            </w:r>
          </w:p>
        </w:tc>
        <w:tc>
          <w:tcPr>
            <w:tcW w:w="0" w:type="dxa"/>
            <w:vAlign w:val="bottom"/>
          </w:tcPr>
          <w:p>
            <w:pPr>
              <w:spacing w:after="0"/>
              <w:rPr>
                <w:sz w:val="1"/>
                <w:szCs w:val="1"/>
                <w:color w:val="auto"/>
              </w:rPr>
            </w:pPr>
          </w:p>
        </w:tc>
      </w:tr>
    </w:tbl>
    <w:p>
      <w:pPr>
        <w:spacing w:after="0" w:line="55" w:lineRule="exact"/>
        <w:rPr>
          <w:sz w:val="20"/>
          <w:szCs w:val="20"/>
          <w:color w:val="auto"/>
        </w:rPr>
      </w:pPr>
    </w:p>
    <w:p>
      <w:pPr>
        <w:ind w:left="1120"/>
        <w:spacing w:after="0"/>
        <w:rPr>
          <w:sz w:val="20"/>
          <w:szCs w:val="20"/>
          <w:color w:val="auto"/>
        </w:rPr>
      </w:pPr>
      <w:r>
        <w:rPr>
          <w:rFonts w:ascii="Times New Roman" w:cs="Times New Roman" w:eastAsia="Times New Roman" w:hAnsi="Times New Roman"/>
          <w:sz w:val="22"/>
          <w:szCs w:val="22"/>
          <w:color w:val="auto"/>
        </w:rPr>
        <w:t>Aggregate Amount Beneficially Owned by Each Reporting Person</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9</w:t>
      </w:r>
    </w:p>
    <w:p>
      <w:pPr>
        <w:ind w:left="1120"/>
        <w:spacing w:after="0"/>
        <w:rPr>
          <w:sz w:val="20"/>
          <w:szCs w:val="20"/>
          <w:color w:val="auto"/>
        </w:rPr>
      </w:pPr>
      <w:r>
        <w:rPr>
          <w:rFonts w:ascii="Times New Roman" w:cs="Times New Roman" w:eastAsia="Times New Roman" w:hAnsi="Times New Roman"/>
          <w:sz w:val="22"/>
          <w:szCs w:val="22"/>
          <w:color w:val="auto"/>
        </w:rPr>
        <w:t>13,325.00</w:t>
      </w:r>
    </w:p>
    <w:p>
      <w:pPr>
        <w:spacing w:after="0" w:line="19" w:lineRule="exact"/>
        <w:rPr>
          <w:sz w:val="20"/>
          <w:szCs w:val="20"/>
          <w:color w:val="auto"/>
        </w:rPr>
      </w:pPr>
    </w:p>
    <w:p>
      <w:pPr>
        <w:ind w:left="1120"/>
        <w:spacing w:after="0"/>
        <w:rPr>
          <w:sz w:val="20"/>
          <w:szCs w:val="20"/>
          <w:color w:val="auto"/>
        </w:rPr>
      </w:pPr>
      <w:r>
        <w:rPr>
          <w:rFonts w:ascii="Times New Roman" w:cs="Times New Roman" w:eastAsia="Times New Roman" w:hAnsi="Times New Roman"/>
          <w:sz w:val="21"/>
          <w:szCs w:val="21"/>
          <w:color w:val="auto"/>
        </w:rPr>
        <w:t>Check box if the aggregate amount in row (9) excludes certain shares (See Instructions)</w:t>
      </w:r>
    </w:p>
    <w:p>
      <w:pPr>
        <w:spacing w:after="0"/>
        <w:rPr>
          <w:sz w:val="20"/>
          <w:szCs w:val="20"/>
          <w:color w:val="auto"/>
        </w:rPr>
      </w:pPr>
      <w:r>
        <w:rPr>
          <w:rFonts w:ascii="Times New Roman" w:cs="Times New Roman" w:eastAsia="Times New Roman" w:hAnsi="Times New Roman"/>
          <w:sz w:val="22"/>
          <w:szCs w:val="22"/>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716915</wp:posOffset>
            </wp:positionH>
            <wp:positionV relativeFrom="paragraph">
              <wp:posOffset>12700</wp:posOffset>
            </wp:positionV>
            <wp:extent cx="128905" cy="12890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230" w:lineRule="exact"/>
        <w:rPr>
          <w:sz w:val="20"/>
          <w:szCs w:val="20"/>
          <w:color w:val="auto"/>
        </w:rPr>
      </w:pPr>
    </w:p>
    <w:p>
      <w:pPr>
        <w:ind w:left="1120"/>
        <w:spacing w:after="0"/>
        <w:rPr>
          <w:sz w:val="20"/>
          <w:szCs w:val="20"/>
          <w:color w:val="auto"/>
        </w:rPr>
      </w:pPr>
      <w:r>
        <w:rPr>
          <w:rFonts w:ascii="Times New Roman" w:cs="Times New Roman" w:eastAsia="Times New Roman" w:hAnsi="Times New Roman"/>
          <w:sz w:val="22"/>
          <w:szCs w:val="22"/>
          <w:color w:val="auto"/>
        </w:rPr>
        <w:t>Percent of class represented by amount in row (9)</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11</w:t>
      </w:r>
    </w:p>
    <w:p>
      <w:pPr>
        <w:ind w:left="1120"/>
        <w:spacing w:after="0"/>
        <w:rPr>
          <w:sz w:val="20"/>
          <w:szCs w:val="20"/>
          <w:color w:val="auto"/>
        </w:rPr>
      </w:pPr>
      <w:r>
        <w:rPr>
          <w:rFonts w:ascii="Times New Roman" w:cs="Times New Roman" w:eastAsia="Times New Roman" w:hAnsi="Times New Roman"/>
          <w:sz w:val="22"/>
          <w:szCs w:val="22"/>
          <w:color w:val="auto"/>
        </w:rPr>
        <w:t>0.0 %</w:t>
      </w:r>
    </w:p>
    <w:p>
      <w:pPr>
        <w:spacing w:after="0" w:line="20" w:lineRule="exact"/>
        <w:rPr>
          <w:sz w:val="20"/>
          <w:szCs w:val="20"/>
          <w:color w:val="auto"/>
        </w:rPr>
      </w:pPr>
    </w:p>
    <w:p>
      <w:pPr>
        <w:ind w:left="1120"/>
        <w:spacing w:after="0"/>
        <w:rPr>
          <w:sz w:val="20"/>
          <w:szCs w:val="20"/>
          <w:color w:val="auto"/>
        </w:rPr>
      </w:pPr>
      <w:r>
        <w:rPr>
          <w:rFonts w:ascii="Times New Roman" w:cs="Times New Roman" w:eastAsia="Times New Roman" w:hAnsi="Times New Roman"/>
          <w:sz w:val="22"/>
          <w:szCs w:val="22"/>
          <w:color w:val="auto"/>
        </w:rPr>
        <w:t>Type of Reporting Person (See Instructions)</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12</w:t>
      </w:r>
    </w:p>
    <w:p>
      <w:pPr>
        <w:ind w:left="1120"/>
        <w:spacing w:after="0"/>
        <w:rPr>
          <w:sz w:val="20"/>
          <w:szCs w:val="20"/>
          <w:color w:val="auto"/>
        </w:rPr>
      </w:pPr>
      <w:r>
        <w:rPr>
          <w:rFonts w:ascii="Times New Roman" w:cs="Times New Roman" w:eastAsia="Times New Roman" w:hAnsi="Times New Roman"/>
          <w:sz w:val="22"/>
          <w:szCs w:val="22"/>
          <w:color w:val="auto"/>
        </w:rPr>
        <w:t>IA, OO</w:t>
      </w:r>
    </w:p>
    <w:p>
      <w:pPr>
        <w:spacing w:after="0" w:line="200" w:lineRule="exact"/>
        <w:rPr>
          <w:sz w:val="20"/>
          <w:szCs w:val="20"/>
          <w:color w:val="auto"/>
        </w:rPr>
      </w:pPr>
    </w:p>
    <w:p>
      <w:pPr>
        <w:spacing w:after="0" w:line="200" w:lineRule="exact"/>
        <w:rPr>
          <w:sz w:val="20"/>
          <w:szCs w:val="20"/>
          <w:color w:val="auto"/>
        </w:rPr>
      </w:pPr>
    </w:p>
    <w:p>
      <w:pPr>
        <w:spacing w:after="0" w:line="345" w:lineRule="exact"/>
        <w:rPr>
          <w:sz w:val="20"/>
          <w:szCs w:val="20"/>
          <w:color w:val="auto"/>
        </w:rPr>
      </w:pPr>
    </w:p>
    <w:p>
      <w:pPr>
        <w:ind w:left="20"/>
        <w:spacing w:after="0"/>
        <w:rPr>
          <w:sz w:val="20"/>
          <w:szCs w:val="20"/>
          <w:color w:val="auto"/>
        </w:rPr>
      </w:pPr>
      <w:r>
        <w:rPr>
          <w:rFonts w:ascii="Times New Roman" w:cs="Times New Roman" w:eastAsia="Times New Roman" w:hAnsi="Times New Roman"/>
          <w:sz w:val="26"/>
          <w:szCs w:val="26"/>
          <w:color w:val="auto"/>
        </w:rPr>
        <w:t>SCHEDULE 13G</w:t>
      </w:r>
    </w:p>
    <w:p>
      <w:pPr>
        <w:spacing w:after="0" w:line="295"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CUSIP No.</w:t>
      </w:r>
    </w:p>
    <w:p>
      <w:pPr>
        <w:spacing w:after="0" w:line="200" w:lineRule="exact"/>
        <w:rPr>
          <w:sz w:val="20"/>
          <w:szCs w:val="20"/>
          <w:color w:val="auto"/>
        </w:rPr>
      </w:pPr>
    </w:p>
    <w:p>
      <w:pPr>
        <w:spacing w:after="0" w:line="361" w:lineRule="exact"/>
        <w:rPr>
          <w:sz w:val="20"/>
          <w:szCs w:val="20"/>
          <w:color w:val="auto"/>
        </w:rPr>
      </w:pPr>
    </w:p>
    <w:p>
      <w:pPr>
        <w:ind w:left="1120"/>
        <w:spacing w:after="0"/>
        <w:rPr>
          <w:sz w:val="20"/>
          <w:szCs w:val="20"/>
          <w:color w:val="auto"/>
        </w:rPr>
      </w:pPr>
      <w:r>
        <w:rPr>
          <w:rFonts w:ascii="Times New Roman" w:cs="Times New Roman" w:eastAsia="Times New Roman" w:hAnsi="Times New Roman"/>
          <w:sz w:val="22"/>
          <w:szCs w:val="22"/>
          <w:color w:val="auto"/>
        </w:rPr>
        <w:t>Names of Reporting Persons</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w:t>
      </w:r>
    </w:p>
    <w:p>
      <w:pPr>
        <w:ind w:left="1120"/>
        <w:spacing w:after="0"/>
        <w:rPr>
          <w:sz w:val="20"/>
          <w:szCs w:val="20"/>
          <w:color w:val="auto"/>
        </w:rPr>
      </w:pPr>
      <w:r>
        <w:rPr>
          <w:rFonts w:ascii="Times New Roman" w:cs="Times New Roman" w:eastAsia="Times New Roman" w:hAnsi="Times New Roman"/>
          <w:sz w:val="22"/>
          <w:szCs w:val="22"/>
          <w:color w:val="auto"/>
        </w:rPr>
        <w:t>ClearBridge Investments Ltd</w:t>
      </w:r>
    </w:p>
    <w:p>
      <w:pPr>
        <w:spacing w:after="0" w:line="20" w:lineRule="exact"/>
        <w:rPr>
          <w:sz w:val="20"/>
          <w:szCs w:val="20"/>
          <w:color w:val="auto"/>
        </w:rPr>
      </w:pPr>
    </w:p>
    <w:p>
      <w:pPr>
        <w:ind w:left="1120"/>
        <w:spacing w:after="0"/>
        <w:rPr>
          <w:sz w:val="20"/>
          <w:szCs w:val="20"/>
          <w:color w:val="auto"/>
        </w:rPr>
      </w:pPr>
      <w:r>
        <w:rPr>
          <w:rFonts w:ascii="Times New Roman" w:cs="Times New Roman" w:eastAsia="Times New Roman" w:hAnsi="Times New Roman"/>
          <w:sz w:val="22"/>
          <w:szCs w:val="22"/>
          <w:color w:val="auto"/>
        </w:rPr>
        <w:t>Check the appropriate box if a member of a Group (see instructions)</w:t>
      </w:r>
    </w:p>
    <w:p>
      <w:pPr>
        <w:sectPr>
          <w:pgSz w:w="11900" w:h="16838" w:orient="portrait"/>
          <w:cols w:equalWidth="0" w:num="1">
            <w:col w:w="10099"/>
          </w:cols>
          <w:pgMar w:left="360" w:top="102" w:right="1440" w:bottom="0" w:gutter="0" w:footer="0" w:header="0"/>
        </w:sectPr>
      </w:pPr>
    </w:p>
    <w:p>
      <w:pPr>
        <w:spacing w:after="0" w:line="125"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2</w:t>
      </w:r>
    </w:p>
    <w:p>
      <w:pPr>
        <w:spacing w:after="0" w:line="200" w:lineRule="exact"/>
        <w:rPr>
          <w:sz w:val="20"/>
          <w:szCs w:val="20"/>
          <w:color w:val="auto"/>
        </w:rPr>
      </w:pPr>
    </w:p>
    <w:p>
      <w:pPr>
        <w:spacing w:after="0" w:line="222"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3</w:t>
      </w:r>
    </w:p>
    <w:p>
      <w:pPr>
        <w:spacing w:after="0" w:line="287"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4</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6"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Number of</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Shares</w:t>
      </w:r>
    </w:p>
    <w:p>
      <w:pPr>
        <w:spacing w:after="0"/>
        <w:rPr>
          <w:sz w:val="20"/>
          <w:szCs w:val="20"/>
          <w:color w:val="auto"/>
        </w:rPr>
      </w:pPr>
      <w:r>
        <w:rPr>
          <w:rFonts w:ascii="Times New Roman" w:cs="Times New Roman" w:eastAsia="Times New Roman" w:hAnsi="Times New Roman"/>
          <w:sz w:val="21"/>
          <w:szCs w:val="21"/>
          <w:color w:val="auto"/>
        </w:rPr>
        <w:t>Beneficially</w:t>
      </w:r>
    </w:p>
    <w:p>
      <w:pPr>
        <w:spacing w:after="0" w:line="231" w:lineRule="auto"/>
        <w:rPr>
          <w:sz w:val="20"/>
          <w:szCs w:val="20"/>
          <w:color w:val="auto"/>
        </w:rPr>
      </w:pPr>
      <w:r>
        <w:rPr>
          <w:rFonts w:ascii="Times New Roman" w:cs="Times New Roman" w:eastAsia="Times New Roman" w:hAnsi="Times New Roman"/>
          <w:sz w:val="22"/>
          <w:szCs w:val="22"/>
          <w:color w:val="auto"/>
        </w:rPr>
        <w:t>Owned by</w:t>
      </w:r>
    </w:p>
    <w:p>
      <w:pPr>
        <w:spacing w:after="0" w:line="231" w:lineRule="auto"/>
        <w:rPr>
          <w:sz w:val="20"/>
          <w:szCs w:val="20"/>
          <w:color w:val="auto"/>
        </w:rPr>
      </w:pPr>
      <w:r>
        <w:rPr>
          <w:rFonts w:ascii="Times New Roman" w:cs="Times New Roman" w:eastAsia="Times New Roman" w:hAnsi="Times New Roman"/>
          <w:sz w:val="22"/>
          <w:szCs w:val="22"/>
          <w:color w:val="auto"/>
        </w:rPr>
        <w:t>Each</w:t>
      </w:r>
    </w:p>
    <w:p>
      <w:pPr>
        <w:spacing w:after="0" w:line="231" w:lineRule="auto"/>
        <w:rPr>
          <w:sz w:val="20"/>
          <w:szCs w:val="20"/>
          <w:color w:val="auto"/>
        </w:rPr>
      </w:pPr>
      <w:r>
        <w:rPr>
          <w:rFonts w:ascii="Times New Roman" w:cs="Times New Roman" w:eastAsia="Times New Roman" w:hAnsi="Times New Roman"/>
          <w:sz w:val="22"/>
          <w:szCs w:val="22"/>
          <w:color w:val="auto"/>
        </w:rPr>
        <w:t>Reporting</w:t>
      </w:r>
    </w:p>
    <w:p>
      <w:pPr>
        <w:spacing w:after="0" w:line="230" w:lineRule="auto"/>
        <w:rPr>
          <w:sz w:val="20"/>
          <w:szCs w:val="20"/>
          <w:color w:val="auto"/>
        </w:rPr>
      </w:pPr>
      <w:r>
        <w:rPr>
          <w:rFonts w:ascii="Times New Roman" w:cs="Times New Roman" w:eastAsia="Times New Roman" w:hAnsi="Times New Roman"/>
          <w:sz w:val="22"/>
          <w:szCs w:val="22"/>
          <w:color w:val="auto"/>
        </w:rPr>
        <w:t>Person</w:t>
      </w:r>
    </w:p>
    <w:p>
      <w:pPr>
        <w:spacing w:after="0" w:line="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With:</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2"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9</w:t>
      </w:r>
    </w:p>
    <w:p>
      <w:pPr>
        <w:spacing w:after="0" w:line="200" w:lineRule="exact"/>
        <w:rPr>
          <w:sz w:val="20"/>
          <w:szCs w:val="20"/>
          <w:color w:val="auto"/>
        </w:rPr>
      </w:pPr>
    </w:p>
    <w:p>
      <w:pPr>
        <w:spacing w:after="0" w:line="30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10</w:t>
      </w:r>
    </w:p>
    <w:p>
      <w:pPr>
        <w:spacing w:after="0" w:line="200" w:lineRule="exact"/>
        <w:rPr>
          <w:sz w:val="20"/>
          <w:szCs w:val="20"/>
          <w:color w:val="auto"/>
        </w:rPr>
      </w:pPr>
    </w:p>
    <w:p>
      <w:pPr>
        <w:spacing w:after="0" w:line="317"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11</w:t>
      </w:r>
    </w:p>
    <w:p>
      <w:pPr>
        <w:spacing w:after="0" w:line="20" w:lineRule="exact"/>
        <w:rPr>
          <w:sz w:val="20"/>
          <w:szCs w:val="20"/>
          <w:color w:val="auto"/>
        </w:rPr>
      </w:pPr>
      <w:r>
        <w:rPr>
          <w:sz w:val="20"/>
          <w:szCs w:val="20"/>
          <w:color w:val="auto"/>
        </w:rPr>
        <w:br w:type="column"/>
      </w:r>
    </w:p>
    <w:p>
      <w:pPr>
        <w:spacing w:after="0" w:line="227" w:lineRule="exact"/>
        <w:rPr>
          <w:sz w:val="20"/>
          <w:szCs w:val="20"/>
          <w:color w:val="auto"/>
        </w:rPr>
      </w:pPr>
    </w:p>
    <w:p>
      <w:pPr>
        <w:spacing w:after="0"/>
        <w:rPr>
          <w:sz w:val="20"/>
          <w:szCs w:val="20"/>
          <w:color w:val="auto"/>
        </w:rPr>
      </w:pPr>
      <w:r>
        <w:rPr>
          <w:sz w:val="1"/>
          <w:szCs w:val="1"/>
          <w:color w:val="auto"/>
        </w:rPr>
        <w:drawing>
          <wp:inline distT="0" distB="0" distL="0" distR="0">
            <wp:extent cx="128905" cy="128905"/>
            <wp:effectExtent l="0" t="0" r="0" b="0"/>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w:t>
      </w:r>
    </w:p>
    <w:p>
      <w:pPr>
        <w:spacing w:after="0" w:line="17" w:lineRule="exact"/>
        <w:rPr>
          <w:sz w:val="20"/>
          <w:szCs w:val="20"/>
          <w:color w:val="auto"/>
        </w:rPr>
      </w:pPr>
    </w:p>
    <w:p>
      <w:pPr>
        <w:spacing w:after="0"/>
        <w:rPr>
          <w:sz w:val="20"/>
          <w:szCs w:val="20"/>
          <w:color w:val="auto"/>
        </w:rPr>
      </w:pPr>
      <w:r>
        <w:rPr>
          <w:sz w:val="1"/>
          <w:szCs w:val="1"/>
          <w:color w:val="auto"/>
        </w:rPr>
        <w:drawing>
          <wp:inline distT="0" distB="0" distL="0" distR="0">
            <wp:extent cx="128905" cy="128905"/>
            <wp:effectExtent l="0" t="0" r="0" b="0"/>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(b)</w:t>
      </w:r>
    </w:p>
    <w:p>
      <w:pPr>
        <w:spacing w:after="0" w:line="30"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Sec Use Only</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Citizenship or Place of Organization</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AUSTRALIA</w:t>
      </w:r>
    </w:p>
    <w:p>
      <w:pPr>
        <w:spacing w:after="0" w:line="85"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Sole Voting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5</w:t>
      </w:r>
    </w:p>
    <w:p>
      <w:pPr>
        <w:ind w:left="280"/>
        <w:spacing w:after="0"/>
        <w:rPr>
          <w:sz w:val="20"/>
          <w:szCs w:val="20"/>
          <w:color w:val="auto"/>
        </w:rPr>
      </w:pPr>
      <w:r>
        <w:rPr>
          <w:rFonts w:ascii="Times New Roman" w:cs="Times New Roman" w:eastAsia="Times New Roman" w:hAnsi="Times New Roman"/>
          <w:sz w:val="22"/>
          <w:szCs w:val="22"/>
          <w:color w:val="auto"/>
        </w:rPr>
        <w:t>5,279,011.00</w:t>
      </w:r>
    </w:p>
    <w:p>
      <w:pPr>
        <w:spacing w:after="0" w:line="20"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Shared Voting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6</w:t>
      </w:r>
    </w:p>
    <w:p>
      <w:pPr>
        <w:ind w:left="280"/>
        <w:spacing w:after="0"/>
        <w:rPr>
          <w:sz w:val="20"/>
          <w:szCs w:val="20"/>
          <w:color w:val="auto"/>
        </w:rPr>
      </w:pPr>
      <w:r>
        <w:rPr>
          <w:rFonts w:ascii="Times New Roman" w:cs="Times New Roman" w:eastAsia="Times New Roman" w:hAnsi="Times New Roman"/>
          <w:sz w:val="22"/>
          <w:szCs w:val="22"/>
          <w:color w:val="auto"/>
        </w:rPr>
        <w:t>0.00</w:t>
      </w:r>
    </w:p>
    <w:p>
      <w:pPr>
        <w:spacing w:after="0" w:line="20"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Sole Dispositive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7</w:t>
      </w:r>
    </w:p>
    <w:p>
      <w:pPr>
        <w:ind w:left="280"/>
        <w:spacing w:after="0"/>
        <w:rPr>
          <w:sz w:val="20"/>
          <w:szCs w:val="20"/>
          <w:color w:val="auto"/>
        </w:rPr>
      </w:pPr>
      <w:r>
        <w:rPr>
          <w:rFonts w:ascii="Times New Roman" w:cs="Times New Roman" w:eastAsia="Times New Roman" w:hAnsi="Times New Roman"/>
          <w:sz w:val="22"/>
          <w:szCs w:val="22"/>
          <w:color w:val="auto"/>
        </w:rPr>
        <w:t>5,279,011.00</w:t>
      </w:r>
    </w:p>
    <w:p>
      <w:pPr>
        <w:spacing w:after="0" w:line="20"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Shared Dispositive</w:t>
      </w:r>
    </w:p>
    <w:p>
      <w:pPr>
        <w:ind w:left="40"/>
        <w:spacing w:after="0" w:line="191" w:lineRule="auto"/>
        <w:rPr>
          <w:sz w:val="20"/>
          <w:szCs w:val="20"/>
          <w:color w:val="auto"/>
        </w:rPr>
      </w:pPr>
      <w:r>
        <w:rPr>
          <w:rFonts w:ascii="Times New Roman" w:cs="Times New Roman" w:eastAsia="Times New Roman" w:hAnsi="Times New Roman"/>
          <w:sz w:val="43"/>
          <w:szCs w:val="43"/>
          <w:color w:val="auto"/>
          <w:vertAlign w:val="subscript"/>
        </w:rPr>
        <w:t>8</w:t>
      </w:r>
      <w:r>
        <w:rPr>
          <w:rFonts w:ascii="Times New Roman" w:cs="Times New Roman" w:eastAsia="Times New Roman" w:hAnsi="Times New Roman"/>
          <w:sz w:val="22"/>
          <w:szCs w:val="22"/>
          <w:color w:val="auto"/>
        </w:rPr>
        <w:t xml:space="preserve"> Power</w:t>
      </w:r>
    </w:p>
    <w:p>
      <w:pPr>
        <w:spacing w:after="0" w:line="83"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0.00</w:t>
      </w:r>
    </w:p>
    <w:p>
      <w:pPr>
        <w:spacing w:after="0" w:line="85"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Aggregate Amount Beneficially Owned by Each Reporting Person</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5,279,011.00</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Check box if the aggregate amount in row (9) excludes certain shares (See Instructions)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172720</wp:posOffset>
            </wp:positionV>
            <wp:extent cx="128905" cy="12827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128905" cy="128270"/>
                    </a:xfrm>
                    <a:prstGeom prst="rect">
                      <a:avLst/>
                    </a:prstGeom>
                    <a:noFill/>
                  </pic:spPr>
                </pic:pic>
              </a:graphicData>
            </a:graphic>
          </wp:anchor>
        </w:drawing>
      </w:r>
    </w:p>
    <w:p>
      <w:pPr>
        <w:spacing w:after="0" w:line="200" w:lineRule="exact"/>
        <w:rPr>
          <w:sz w:val="20"/>
          <w:szCs w:val="20"/>
          <w:color w:val="auto"/>
        </w:rPr>
      </w:pPr>
    </w:p>
    <w:p>
      <w:pPr>
        <w:spacing w:after="0" w:line="28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Percent of class represented by amount in row (9)</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4.4 %</w:t>
      </w:r>
    </w:p>
    <w:p>
      <w:pPr>
        <w:sectPr>
          <w:pgSz w:w="11900" w:h="16838" w:orient="portrait"/>
          <w:cols w:equalWidth="0" w:num="2">
            <w:col w:w="1060" w:space="60"/>
            <w:col w:w="8979"/>
          </w:cols>
          <w:pgMar w:left="360" w:top="102" w:right="1440" w:bottom="0" w:gutter="0" w:footer="0" w:header="0"/>
          <w:type w:val="continuous"/>
        </w:sectPr>
      </w:pPr>
    </w:p>
    <w:bookmarkStart w:id="2" w:name="page3"/>
    <w:bookmarkEnd w:id="2"/>
    <w:p>
      <w:pPr>
        <w:ind w:left="1120" w:right="5159" w:hanging="1112"/>
        <w:spacing w:after="0" w:line="489" w:lineRule="auto"/>
        <w:tabs>
          <w:tab w:leader="none" w:pos="1120" w:val="left"/>
        </w:tabs>
        <w:numPr>
          <w:ilvl w:val="0"/>
          <w:numId w:val="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Type of Reporting Person (See Instructions) IA, OO</w:t>
      </w:r>
    </w:p>
    <w:p>
      <w:pPr>
        <w:spacing w:after="0" w:line="200" w:lineRule="exact"/>
        <w:rPr>
          <w:sz w:val="20"/>
          <w:szCs w:val="20"/>
          <w:color w:val="auto"/>
        </w:rPr>
      </w:pPr>
    </w:p>
    <w:p>
      <w:pPr>
        <w:spacing w:after="0" w:line="278" w:lineRule="exact"/>
        <w:rPr>
          <w:sz w:val="20"/>
          <w:szCs w:val="20"/>
          <w:color w:val="auto"/>
        </w:rPr>
      </w:pPr>
    </w:p>
    <w:p>
      <w:pPr>
        <w:ind w:left="20"/>
        <w:spacing w:after="0"/>
        <w:rPr>
          <w:sz w:val="20"/>
          <w:szCs w:val="20"/>
          <w:color w:val="auto"/>
        </w:rPr>
      </w:pPr>
      <w:r>
        <w:rPr>
          <w:rFonts w:ascii="Times New Roman" w:cs="Times New Roman" w:eastAsia="Times New Roman" w:hAnsi="Times New Roman"/>
          <w:sz w:val="26"/>
          <w:szCs w:val="26"/>
          <w:color w:val="auto"/>
        </w:rPr>
        <w:t>SCHEDULE 13G</w:t>
      </w:r>
    </w:p>
    <w:p>
      <w:pPr>
        <w:spacing w:after="0" w:line="295"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CUSIP No.</w:t>
      </w:r>
    </w:p>
    <w:p>
      <w:pPr>
        <w:spacing w:after="0" w:line="200" w:lineRule="exact"/>
        <w:rPr>
          <w:sz w:val="20"/>
          <w:szCs w:val="20"/>
          <w:color w:val="auto"/>
        </w:rPr>
      </w:pPr>
    </w:p>
    <w:p>
      <w:pPr>
        <w:spacing w:after="0" w:line="361" w:lineRule="exact"/>
        <w:rPr>
          <w:sz w:val="20"/>
          <w:szCs w:val="20"/>
          <w:color w:val="auto"/>
        </w:rPr>
      </w:pPr>
    </w:p>
    <w:p>
      <w:pPr>
        <w:ind w:left="1120"/>
        <w:spacing w:after="0"/>
        <w:rPr>
          <w:sz w:val="20"/>
          <w:szCs w:val="20"/>
          <w:color w:val="auto"/>
        </w:rPr>
      </w:pPr>
      <w:r>
        <w:rPr>
          <w:rFonts w:ascii="Times New Roman" w:cs="Times New Roman" w:eastAsia="Times New Roman" w:hAnsi="Times New Roman"/>
          <w:sz w:val="22"/>
          <w:szCs w:val="22"/>
          <w:color w:val="auto"/>
        </w:rPr>
        <w:t>Names of Reporting Persons</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w:t>
      </w:r>
    </w:p>
    <w:p>
      <w:pPr>
        <w:ind w:left="1120"/>
        <w:spacing w:after="0"/>
        <w:rPr>
          <w:sz w:val="20"/>
          <w:szCs w:val="20"/>
          <w:color w:val="auto"/>
        </w:rPr>
      </w:pPr>
      <w:r>
        <w:rPr>
          <w:rFonts w:ascii="Times New Roman" w:cs="Times New Roman" w:eastAsia="Times New Roman" w:hAnsi="Times New Roman"/>
          <w:sz w:val="22"/>
          <w:szCs w:val="22"/>
          <w:color w:val="auto"/>
        </w:rPr>
        <w:t>ClearBridge Investments (North America) Pty Ltd</w:t>
      </w:r>
    </w:p>
    <w:p>
      <w:pPr>
        <w:spacing w:after="0" w:line="20" w:lineRule="exact"/>
        <w:rPr>
          <w:sz w:val="20"/>
          <w:szCs w:val="20"/>
          <w:color w:val="auto"/>
        </w:rPr>
      </w:pPr>
    </w:p>
    <w:p>
      <w:pPr>
        <w:ind w:left="1120"/>
        <w:spacing w:after="0"/>
        <w:rPr>
          <w:sz w:val="20"/>
          <w:szCs w:val="20"/>
          <w:color w:val="auto"/>
        </w:rPr>
      </w:pPr>
      <w:r>
        <w:rPr>
          <w:rFonts w:ascii="Times New Roman" w:cs="Times New Roman" w:eastAsia="Times New Roman" w:hAnsi="Times New Roman"/>
          <w:sz w:val="21"/>
          <w:szCs w:val="21"/>
          <w:color w:val="auto"/>
        </w:rPr>
        <w:t>Check the appropriate box if a member of a Group (see instructions)</w:t>
      </w:r>
    </w:p>
    <w:p>
      <w:pPr>
        <w:sectPr>
          <w:pgSz w:w="11900" w:h="16838" w:orient="portrait"/>
          <w:cols w:equalWidth="0" w:num="1">
            <w:col w:w="10099"/>
          </w:cols>
          <w:pgMar w:left="360" w:top="111" w:right="1440" w:bottom="46" w:gutter="0" w:footer="0" w:header="0"/>
        </w:sectPr>
      </w:pPr>
    </w:p>
    <w:p>
      <w:pPr>
        <w:spacing w:after="0" w:line="137"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2</w:t>
      </w:r>
    </w:p>
    <w:p>
      <w:pPr>
        <w:spacing w:after="0" w:line="200" w:lineRule="exact"/>
        <w:rPr>
          <w:sz w:val="20"/>
          <w:szCs w:val="20"/>
          <w:color w:val="auto"/>
        </w:rPr>
      </w:pPr>
    </w:p>
    <w:p>
      <w:pPr>
        <w:spacing w:after="0" w:line="222"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3</w:t>
      </w:r>
    </w:p>
    <w:p>
      <w:pPr>
        <w:spacing w:after="0" w:line="287"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4</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6"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Number of</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Shares</w:t>
      </w:r>
    </w:p>
    <w:p>
      <w:pPr>
        <w:spacing w:after="0"/>
        <w:rPr>
          <w:sz w:val="20"/>
          <w:szCs w:val="20"/>
          <w:color w:val="auto"/>
        </w:rPr>
      </w:pPr>
      <w:r>
        <w:rPr>
          <w:rFonts w:ascii="Times New Roman" w:cs="Times New Roman" w:eastAsia="Times New Roman" w:hAnsi="Times New Roman"/>
          <w:sz w:val="21"/>
          <w:szCs w:val="21"/>
          <w:color w:val="auto"/>
        </w:rPr>
        <w:t>Beneficially</w:t>
      </w:r>
    </w:p>
    <w:p>
      <w:pPr>
        <w:spacing w:after="0" w:line="231" w:lineRule="auto"/>
        <w:rPr>
          <w:sz w:val="20"/>
          <w:szCs w:val="20"/>
          <w:color w:val="auto"/>
        </w:rPr>
      </w:pPr>
      <w:r>
        <w:rPr>
          <w:rFonts w:ascii="Times New Roman" w:cs="Times New Roman" w:eastAsia="Times New Roman" w:hAnsi="Times New Roman"/>
          <w:sz w:val="22"/>
          <w:szCs w:val="22"/>
          <w:color w:val="auto"/>
        </w:rPr>
        <w:t>Owned by</w:t>
      </w:r>
    </w:p>
    <w:p>
      <w:pPr>
        <w:spacing w:after="0" w:line="231" w:lineRule="auto"/>
        <w:rPr>
          <w:sz w:val="20"/>
          <w:szCs w:val="20"/>
          <w:color w:val="auto"/>
        </w:rPr>
      </w:pPr>
      <w:r>
        <w:rPr>
          <w:rFonts w:ascii="Times New Roman" w:cs="Times New Roman" w:eastAsia="Times New Roman" w:hAnsi="Times New Roman"/>
          <w:sz w:val="22"/>
          <w:szCs w:val="22"/>
          <w:color w:val="auto"/>
        </w:rPr>
        <w:t>Each</w:t>
      </w:r>
    </w:p>
    <w:p>
      <w:pPr>
        <w:spacing w:after="0" w:line="231" w:lineRule="auto"/>
        <w:rPr>
          <w:sz w:val="20"/>
          <w:szCs w:val="20"/>
          <w:color w:val="auto"/>
        </w:rPr>
      </w:pPr>
      <w:r>
        <w:rPr>
          <w:rFonts w:ascii="Times New Roman" w:cs="Times New Roman" w:eastAsia="Times New Roman" w:hAnsi="Times New Roman"/>
          <w:sz w:val="22"/>
          <w:szCs w:val="22"/>
          <w:color w:val="auto"/>
        </w:rPr>
        <w:t>Reporting</w:t>
      </w:r>
    </w:p>
    <w:p>
      <w:pPr>
        <w:spacing w:after="0" w:line="230" w:lineRule="auto"/>
        <w:rPr>
          <w:sz w:val="20"/>
          <w:szCs w:val="20"/>
          <w:color w:val="auto"/>
        </w:rPr>
      </w:pPr>
      <w:r>
        <w:rPr>
          <w:rFonts w:ascii="Times New Roman" w:cs="Times New Roman" w:eastAsia="Times New Roman" w:hAnsi="Times New Roman"/>
          <w:sz w:val="22"/>
          <w:szCs w:val="22"/>
          <w:color w:val="auto"/>
        </w:rPr>
        <w:t>Person</w:t>
      </w:r>
    </w:p>
    <w:p>
      <w:pPr>
        <w:spacing w:after="0" w:line="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With:</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2"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9</w:t>
      </w:r>
    </w:p>
    <w:p>
      <w:pPr>
        <w:spacing w:after="0" w:line="200" w:lineRule="exact"/>
        <w:rPr>
          <w:sz w:val="20"/>
          <w:szCs w:val="20"/>
          <w:color w:val="auto"/>
        </w:rPr>
      </w:pPr>
    </w:p>
    <w:p>
      <w:pPr>
        <w:spacing w:after="0" w:line="30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10</w:t>
      </w:r>
    </w:p>
    <w:p>
      <w:pPr>
        <w:spacing w:after="0" w:line="200" w:lineRule="exact"/>
        <w:rPr>
          <w:sz w:val="20"/>
          <w:szCs w:val="20"/>
          <w:color w:val="auto"/>
        </w:rPr>
      </w:pPr>
    </w:p>
    <w:p>
      <w:pPr>
        <w:spacing w:after="0" w:line="317"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11</w:t>
      </w:r>
    </w:p>
    <w:p>
      <w:pPr>
        <w:spacing w:after="0" w:line="200" w:lineRule="exact"/>
        <w:rPr>
          <w:sz w:val="20"/>
          <w:szCs w:val="20"/>
          <w:color w:val="auto"/>
        </w:rPr>
      </w:pPr>
    </w:p>
    <w:p>
      <w:pPr>
        <w:spacing w:after="0" w:line="330"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12</w:t>
      </w:r>
    </w:p>
    <w:p>
      <w:pPr>
        <w:spacing w:after="0" w:line="20" w:lineRule="exact"/>
        <w:rPr>
          <w:sz w:val="20"/>
          <w:szCs w:val="20"/>
          <w:color w:val="auto"/>
        </w:rPr>
      </w:pPr>
      <w:r>
        <w:rPr>
          <w:sz w:val="20"/>
          <w:szCs w:val="20"/>
          <w:color w:val="auto"/>
        </w:rPr>
        <w:br w:type="column"/>
      </w:r>
    </w:p>
    <w:p>
      <w:pPr>
        <w:spacing w:after="0" w:line="238" w:lineRule="exact"/>
        <w:rPr>
          <w:sz w:val="20"/>
          <w:szCs w:val="20"/>
          <w:color w:val="auto"/>
        </w:rPr>
      </w:pPr>
    </w:p>
    <w:p>
      <w:pPr>
        <w:spacing w:after="0"/>
        <w:rPr>
          <w:sz w:val="20"/>
          <w:szCs w:val="20"/>
          <w:color w:val="auto"/>
        </w:rPr>
      </w:pPr>
      <w:r>
        <w:rPr>
          <w:sz w:val="1"/>
          <w:szCs w:val="1"/>
          <w:color w:val="auto"/>
        </w:rPr>
        <w:drawing>
          <wp:inline distT="0" distB="0" distL="0" distR="0">
            <wp:extent cx="128905" cy="128905"/>
            <wp:effectExtent l="0" t="0" r="0" b="0"/>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w:t>
      </w:r>
    </w:p>
    <w:p>
      <w:pPr>
        <w:spacing w:after="0" w:line="17" w:lineRule="exact"/>
        <w:rPr>
          <w:sz w:val="20"/>
          <w:szCs w:val="20"/>
          <w:color w:val="auto"/>
        </w:rPr>
      </w:pPr>
    </w:p>
    <w:p>
      <w:pPr>
        <w:spacing w:after="0"/>
        <w:rPr>
          <w:sz w:val="20"/>
          <w:szCs w:val="20"/>
          <w:color w:val="auto"/>
        </w:rPr>
      </w:pPr>
      <w:r>
        <w:rPr>
          <w:sz w:val="1"/>
          <w:szCs w:val="1"/>
          <w:color w:val="auto"/>
        </w:rPr>
        <w:drawing>
          <wp:inline distT="0" distB="0" distL="0" distR="0">
            <wp:extent cx="128905" cy="128905"/>
            <wp:effectExtent l="0" t="0" r="0" b="0"/>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(b)</w:t>
      </w:r>
    </w:p>
    <w:p>
      <w:pPr>
        <w:spacing w:after="0" w:line="30"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Sec Use Only</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Citizenship or Place of Organization</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AUSTRALIA</w:t>
      </w:r>
    </w:p>
    <w:p>
      <w:pPr>
        <w:spacing w:after="0" w:line="85"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Sole Voting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5</w:t>
      </w:r>
    </w:p>
    <w:p>
      <w:pPr>
        <w:ind w:left="280"/>
        <w:spacing w:after="0"/>
        <w:rPr>
          <w:sz w:val="20"/>
          <w:szCs w:val="20"/>
          <w:color w:val="auto"/>
        </w:rPr>
      </w:pPr>
      <w:r>
        <w:rPr>
          <w:rFonts w:ascii="Times New Roman" w:cs="Times New Roman" w:eastAsia="Times New Roman" w:hAnsi="Times New Roman"/>
          <w:sz w:val="22"/>
          <w:szCs w:val="22"/>
          <w:color w:val="auto"/>
        </w:rPr>
        <w:t>776,213.00</w:t>
      </w:r>
    </w:p>
    <w:p>
      <w:pPr>
        <w:spacing w:after="0" w:line="20"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Shared Voting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6</w:t>
      </w:r>
    </w:p>
    <w:p>
      <w:pPr>
        <w:ind w:left="280"/>
        <w:spacing w:after="0"/>
        <w:rPr>
          <w:sz w:val="20"/>
          <w:szCs w:val="20"/>
          <w:color w:val="auto"/>
        </w:rPr>
      </w:pPr>
      <w:r>
        <w:rPr>
          <w:rFonts w:ascii="Times New Roman" w:cs="Times New Roman" w:eastAsia="Times New Roman" w:hAnsi="Times New Roman"/>
          <w:sz w:val="22"/>
          <w:szCs w:val="22"/>
          <w:color w:val="auto"/>
        </w:rPr>
        <w:t>0.00</w:t>
      </w:r>
    </w:p>
    <w:p>
      <w:pPr>
        <w:spacing w:after="0" w:line="20"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Sole Dispositive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7</w:t>
      </w:r>
    </w:p>
    <w:p>
      <w:pPr>
        <w:ind w:left="280"/>
        <w:spacing w:after="0"/>
        <w:rPr>
          <w:sz w:val="20"/>
          <w:szCs w:val="20"/>
          <w:color w:val="auto"/>
        </w:rPr>
      </w:pPr>
      <w:r>
        <w:rPr>
          <w:rFonts w:ascii="Times New Roman" w:cs="Times New Roman" w:eastAsia="Times New Roman" w:hAnsi="Times New Roman"/>
          <w:sz w:val="22"/>
          <w:szCs w:val="22"/>
          <w:color w:val="auto"/>
        </w:rPr>
        <w:t>776,213.00</w:t>
      </w:r>
    </w:p>
    <w:p>
      <w:pPr>
        <w:spacing w:after="0" w:line="20"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Shared Dispositive</w:t>
      </w:r>
    </w:p>
    <w:p>
      <w:pPr>
        <w:ind w:left="40"/>
        <w:spacing w:after="0" w:line="191" w:lineRule="auto"/>
        <w:rPr>
          <w:sz w:val="20"/>
          <w:szCs w:val="20"/>
          <w:color w:val="auto"/>
        </w:rPr>
      </w:pPr>
      <w:r>
        <w:rPr>
          <w:rFonts w:ascii="Times New Roman" w:cs="Times New Roman" w:eastAsia="Times New Roman" w:hAnsi="Times New Roman"/>
          <w:sz w:val="43"/>
          <w:szCs w:val="43"/>
          <w:color w:val="auto"/>
          <w:vertAlign w:val="subscript"/>
        </w:rPr>
        <w:t>8</w:t>
      </w:r>
      <w:r>
        <w:rPr>
          <w:rFonts w:ascii="Times New Roman" w:cs="Times New Roman" w:eastAsia="Times New Roman" w:hAnsi="Times New Roman"/>
          <w:sz w:val="22"/>
          <w:szCs w:val="22"/>
          <w:color w:val="auto"/>
        </w:rPr>
        <w:t xml:space="preserve"> Power</w:t>
      </w:r>
    </w:p>
    <w:p>
      <w:pPr>
        <w:spacing w:after="0" w:line="83"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0.00</w:t>
      </w:r>
    </w:p>
    <w:p>
      <w:pPr>
        <w:spacing w:after="0" w:line="85"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Aggregate Amount Beneficially Owned by Each Reporting Person</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776,213.00</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Check box if the aggregate amount in row (9) excludes certain shares (See Instructions)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172720</wp:posOffset>
            </wp:positionV>
            <wp:extent cx="128905" cy="12890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200" w:lineRule="exact"/>
        <w:rPr>
          <w:sz w:val="20"/>
          <w:szCs w:val="20"/>
          <w:color w:val="auto"/>
        </w:rPr>
      </w:pPr>
    </w:p>
    <w:p>
      <w:pPr>
        <w:spacing w:after="0" w:line="28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Percent of class represented by amount in row (9)</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0.6 %</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Type of Reporting Person (See Instructions)</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IA, OO</w:t>
      </w:r>
    </w:p>
    <w:p>
      <w:pPr>
        <w:spacing w:after="0" w:line="200" w:lineRule="exact"/>
        <w:rPr>
          <w:sz w:val="20"/>
          <w:szCs w:val="20"/>
          <w:color w:val="auto"/>
        </w:rPr>
      </w:pPr>
    </w:p>
    <w:p>
      <w:pPr>
        <w:sectPr>
          <w:pgSz w:w="11900" w:h="16838" w:orient="portrait"/>
          <w:cols w:equalWidth="0" w:num="2">
            <w:col w:w="1060" w:space="60"/>
            <w:col w:w="8979"/>
          </w:cols>
          <w:pgMar w:left="360" w:top="111" w:right="1440" w:bottom="46" w:gutter="0" w:footer="0" w:header="0"/>
          <w:type w:val="continuous"/>
        </w:sectPr>
      </w:pPr>
    </w:p>
    <w:p>
      <w:pPr>
        <w:spacing w:after="0" w:line="200" w:lineRule="exact"/>
        <w:rPr>
          <w:sz w:val="20"/>
          <w:szCs w:val="20"/>
          <w:color w:val="auto"/>
        </w:rPr>
      </w:pPr>
    </w:p>
    <w:p>
      <w:pPr>
        <w:spacing w:after="0" w:line="369" w:lineRule="exact"/>
        <w:rPr>
          <w:sz w:val="20"/>
          <w:szCs w:val="20"/>
          <w:color w:val="auto"/>
        </w:rPr>
      </w:pPr>
    </w:p>
    <w:p>
      <w:pPr>
        <w:ind w:left="20"/>
        <w:spacing w:after="0"/>
        <w:rPr>
          <w:sz w:val="20"/>
          <w:szCs w:val="20"/>
          <w:color w:val="auto"/>
        </w:rPr>
      </w:pPr>
      <w:r>
        <w:rPr>
          <w:rFonts w:ascii="Times New Roman" w:cs="Times New Roman" w:eastAsia="Times New Roman" w:hAnsi="Times New Roman"/>
          <w:sz w:val="26"/>
          <w:szCs w:val="26"/>
          <w:color w:val="auto"/>
        </w:rPr>
        <w:t>SCHEDULE 13G</w:t>
      </w:r>
    </w:p>
    <w:p>
      <w:pPr>
        <w:spacing w:after="0" w:line="299"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Item 1.</w:t>
      </w:r>
    </w:p>
    <w:p>
      <w:pPr>
        <w:spacing w:after="0" w:line="44"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22"/>
          <w:szCs w:val="22"/>
          <w:color w:val="auto"/>
        </w:rPr>
        <w:t>Name of issuer:</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w:t>
      </w:r>
    </w:p>
    <w:p>
      <w:pPr>
        <w:ind w:left="920"/>
        <w:spacing w:after="0"/>
        <w:rPr>
          <w:sz w:val="20"/>
          <w:szCs w:val="20"/>
          <w:color w:val="auto"/>
        </w:rPr>
      </w:pPr>
      <w:r>
        <w:rPr>
          <w:rFonts w:ascii="Times New Roman" w:cs="Times New Roman" w:eastAsia="Times New Roman" w:hAnsi="Times New Roman"/>
          <w:sz w:val="22"/>
          <w:szCs w:val="22"/>
          <w:color w:val="auto"/>
        </w:rPr>
        <w:t>Clearway Energy, Inc.</w:t>
      </w:r>
    </w:p>
    <w:p>
      <w:pPr>
        <w:spacing w:after="0" w:line="20"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22"/>
          <w:szCs w:val="22"/>
          <w:color w:val="auto"/>
        </w:rPr>
        <w:t>Address of issuer's principal executive offices:</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(b)</w:t>
      </w:r>
    </w:p>
    <w:p>
      <w:pPr>
        <w:jc w:val="right"/>
        <w:ind w:right="4579"/>
        <w:spacing w:after="0"/>
        <w:rPr>
          <w:sz w:val="20"/>
          <w:szCs w:val="20"/>
          <w:color w:val="auto"/>
        </w:rPr>
      </w:pPr>
      <w:r>
        <w:rPr>
          <w:rFonts w:ascii="Times New Roman" w:cs="Times New Roman" w:eastAsia="Times New Roman" w:hAnsi="Times New Roman"/>
          <w:sz w:val="22"/>
          <w:szCs w:val="22"/>
          <w:color w:val="auto"/>
        </w:rPr>
        <w:t>300 Carnegie Center, Suite 300, Princeton, NJ 08540</w:t>
      </w:r>
    </w:p>
    <w:p>
      <w:pPr>
        <w:spacing w:after="0" w:line="20"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Item 2.</w:t>
      </w:r>
    </w:p>
    <w:p>
      <w:pPr>
        <w:spacing w:after="0" w:line="44" w:lineRule="exact"/>
        <w:rPr>
          <w:sz w:val="20"/>
          <w:szCs w:val="20"/>
          <w:color w:val="auto"/>
        </w:rPr>
      </w:pPr>
    </w:p>
    <w:p>
      <w:pPr>
        <w:ind w:left="920" w:hanging="912"/>
        <w:spacing w:after="0"/>
        <w:tabs>
          <w:tab w:leader="none" w:pos="920" w:val="left"/>
        </w:tabs>
        <w:numPr>
          <w:ilvl w:val="0"/>
          <w:numId w:val="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Name of person filing:</w:t>
      </w:r>
    </w:p>
    <w:p>
      <w:pPr>
        <w:sectPr>
          <w:pgSz w:w="11900" w:h="16838" w:orient="portrait"/>
          <w:cols w:equalWidth="0" w:num="1">
            <w:col w:w="10099"/>
          </w:cols>
          <w:pgMar w:left="360" w:top="111" w:right="1440" w:bottom="46" w:gutter="0" w:footer="0" w:header="0"/>
          <w:type w:val="continuous"/>
        </w:sectPr>
      </w:pPr>
    </w:p>
    <w:bookmarkStart w:id="3" w:name="page4"/>
    <w:bookmarkEnd w:id="3"/>
    <w:p>
      <w:pPr>
        <w:spacing w:after="0" w:line="200" w:lineRule="exact"/>
        <w:rPr>
          <w:sz w:val="20"/>
          <w:szCs w:val="20"/>
          <w:color w:val="auto"/>
        </w:rPr>
      </w:pPr>
    </w:p>
    <w:p>
      <w:pPr>
        <w:spacing w:after="0" w:line="200" w:lineRule="exact"/>
        <w:rPr>
          <w:sz w:val="20"/>
          <w:szCs w:val="20"/>
          <w:color w:val="auto"/>
        </w:rPr>
      </w:pPr>
    </w:p>
    <w:p>
      <w:pPr>
        <w:spacing w:after="0" w:line="38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(b)</w:t>
      </w:r>
    </w:p>
    <w:p>
      <w:pPr>
        <w:spacing w:after="0" w:line="200" w:lineRule="exact"/>
        <w:rPr>
          <w:sz w:val="20"/>
          <w:szCs w:val="20"/>
          <w:color w:val="auto"/>
        </w:rPr>
      </w:pPr>
    </w:p>
    <w:p>
      <w:pPr>
        <w:spacing w:after="0" w:line="330"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(c)</w:t>
      </w:r>
    </w:p>
    <w:p>
      <w:pPr>
        <w:spacing w:after="0" w:line="200" w:lineRule="exact"/>
        <w:rPr>
          <w:sz w:val="20"/>
          <w:szCs w:val="20"/>
          <w:color w:val="auto"/>
        </w:rPr>
      </w:pPr>
    </w:p>
    <w:p>
      <w:pPr>
        <w:spacing w:after="0" w:line="330"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(d)</w:t>
      </w:r>
    </w:p>
    <w:p>
      <w:pPr>
        <w:spacing w:after="0" w:line="200" w:lineRule="exact"/>
        <w:rPr>
          <w:sz w:val="20"/>
          <w:szCs w:val="20"/>
          <w:color w:val="auto"/>
        </w:rPr>
      </w:pPr>
    </w:p>
    <w:p>
      <w:pPr>
        <w:spacing w:after="0" w:line="209"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(e)</w:t>
      </w:r>
    </w:p>
    <w:p>
      <w:pPr>
        <w:spacing w:after="0" w:line="166"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Item 3.</w:t>
      </w:r>
    </w:p>
    <w:p>
      <w:pPr>
        <w:spacing w:after="0" w:line="56"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w:t>
      </w:r>
    </w:p>
    <w:p>
      <w:pPr>
        <w:spacing w:after="0" w:line="58"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(b)</w:t>
      </w:r>
    </w:p>
    <w:p>
      <w:pPr>
        <w:spacing w:after="0" w:line="58"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(c)</w:t>
      </w:r>
    </w:p>
    <w:p>
      <w:pPr>
        <w:spacing w:after="0" w:line="58"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(d)</w:t>
      </w:r>
    </w:p>
    <w:p>
      <w:pPr>
        <w:spacing w:after="0" w:line="58"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(e)</w:t>
      </w:r>
    </w:p>
    <w:p>
      <w:pPr>
        <w:spacing w:after="0" w:line="58"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(f)</w:t>
      </w:r>
    </w:p>
    <w:p>
      <w:pPr>
        <w:spacing w:after="0" w:line="58"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(g)</w:t>
      </w:r>
    </w:p>
    <w:p>
      <w:pPr>
        <w:spacing w:after="0" w:line="58"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(h)</w:t>
      </w:r>
    </w:p>
    <w:p>
      <w:pPr>
        <w:spacing w:after="0" w:line="179"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(i)</w:t>
      </w:r>
    </w:p>
    <w:p>
      <w:pPr>
        <w:spacing w:after="0" w:line="200" w:lineRule="exact"/>
        <w:rPr>
          <w:sz w:val="20"/>
          <w:szCs w:val="20"/>
          <w:color w:val="auto"/>
        </w:rPr>
      </w:pPr>
    </w:p>
    <w:p>
      <w:pPr>
        <w:spacing w:after="0" w:line="222"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(j)</w:t>
      </w:r>
    </w:p>
    <w:p>
      <w:pPr>
        <w:spacing w:after="0" w:line="30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(k)</w:t>
      </w:r>
    </w:p>
    <w:p>
      <w:pPr>
        <w:spacing w:after="0" w:line="355"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Item 4.</w:t>
      </w:r>
    </w:p>
    <w:p>
      <w:pPr>
        <w:spacing w:after="0" w:line="299"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w:t>
      </w:r>
    </w:p>
    <w:p>
      <w:pPr>
        <w:spacing w:after="0" w:line="200" w:lineRule="exact"/>
        <w:rPr>
          <w:sz w:val="20"/>
          <w:szCs w:val="20"/>
          <w:color w:val="auto"/>
        </w:rPr>
      </w:pPr>
    </w:p>
    <w:p>
      <w:pPr>
        <w:spacing w:after="0" w:line="330"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(b)</w:t>
      </w:r>
    </w:p>
    <w:p>
      <w:pPr>
        <w:spacing w:after="0" w:line="20" w:lineRule="exact"/>
        <w:rPr>
          <w:sz w:val="20"/>
          <w:szCs w:val="20"/>
          <w:color w:val="auto"/>
        </w:rPr>
      </w:pPr>
      <w:r>
        <w:rPr>
          <w:sz w:val="20"/>
          <w:szCs w:val="20"/>
          <w:color w:val="auto"/>
        </w:rPr>
        <w:br w:type="column"/>
      </w:r>
    </w:p>
    <w:p>
      <w:pPr>
        <w:ind w:right="600" w:firstLine="6"/>
        <w:spacing w:after="0" w:line="256" w:lineRule="auto"/>
        <w:tabs>
          <w:tab w:leader="none" w:pos="258" w:val="left"/>
        </w:tabs>
        <w:numPr>
          <w:ilvl w:val="0"/>
          <w:numId w:val="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ClearBridge Investments, LLC (ii): ClearBridge Investments Limited (iii): ClearBridge Investments (North America) Pty Ltd</w:t>
      </w:r>
    </w:p>
    <w:p>
      <w:pPr>
        <w:spacing w:after="0"/>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Address or principal business office or, if none, residence:</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(i):One Madison Ave. New York, NY 10010 (ii) and (iii): Level 13, 35 Clarence Street Sydney, Australia 2000</w:t>
      </w:r>
    </w:p>
    <w:p>
      <w:pPr>
        <w:spacing w:after="0" w:line="56"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Citizenship:</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(i):Delaware (ii) and (iii): Australian Corporation</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Title of class of securities:</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Class C Common Stock, par value $0.01</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CUSIP No.:</w:t>
      </w:r>
    </w:p>
    <w:p>
      <w:pPr>
        <w:spacing w:after="0" w:line="287"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If this statement is filed pursuant to §§ 240.13d-1(b) or 240.13d-2(b) or (c), check whether the person filing is a:</w:t>
      </w:r>
    </w:p>
    <w:p>
      <w:pPr>
        <w:spacing w:after="0" w:line="69"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22"/>
          <w:szCs w:val="22"/>
          <w:color w:val="auto"/>
        </w:rPr>
        <w:t>Broker or dealer registered under section 15 of the Act (15 U.S.C. 78o);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-151130</wp:posOffset>
            </wp:positionV>
            <wp:extent cx="128905" cy="12890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38"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22"/>
          <w:szCs w:val="22"/>
          <w:color w:val="auto"/>
        </w:rPr>
        <w:t>Bank as defined in section 3(a)(6) of the Act (15 U.S.C. 78c);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-151130</wp:posOffset>
            </wp:positionV>
            <wp:extent cx="128905" cy="12890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38"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22"/>
          <w:szCs w:val="22"/>
          <w:color w:val="auto"/>
        </w:rPr>
        <w:t>Insurance company as defined in section 3(a)(19) of the Act (15 U.S.C. 78c);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-151130</wp:posOffset>
            </wp:positionV>
            <wp:extent cx="128905" cy="12890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38"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21"/>
          <w:szCs w:val="21"/>
          <w:color w:val="auto"/>
        </w:rPr>
        <w:t>Investment company registered under section 8 of the Investment Company Act of 1940 (15 U.S.C. 80a-8);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-144145</wp:posOffset>
            </wp:positionV>
            <wp:extent cx="128905" cy="12890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49" w:lineRule="exact"/>
        <w:rPr>
          <w:sz w:val="20"/>
          <w:szCs w:val="20"/>
          <w:color w:val="auto"/>
        </w:rPr>
      </w:pPr>
    </w:p>
    <w:p>
      <w:pPr>
        <w:ind w:left="360"/>
        <w:spacing w:after="0"/>
        <w:rPr>
          <w:sz w:val="20"/>
          <w:szCs w:val="20"/>
          <w:color w:val="auto"/>
        </w:rPr>
      </w:pPr>
      <w:r>
        <w:rPr>
          <w:rFonts w:ascii="Times New Roman" w:cs="Times New Roman" w:eastAsia="Times New Roman" w:hAnsi="Times New Roman"/>
          <w:sz w:val="22"/>
          <w:szCs w:val="22"/>
          <w:color w:val="auto"/>
        </w:rPr>
        <w:t>An investment adviser in accordance with § 240.13d-1(b)(1)(ii)(E);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-151130</wp:posOffset>
            </wp:positionV>
            <wp:extent cx="128905" cy="12890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38" w:lineRule="exact"/>
        <w:rPr>
          <w:sz w:val="20"/>
          <w:szCs w:val="20"/>
          <w:color w:val="auto"/>
        </w:rPr>
      </w:pPr>
    </w:p>
    <w:p>
      <w:pPr>
        <w:ind w:left="360"/>
        <w:spacing w:after="0"/>
        <w:rPr>
          <w:sz w:val="20"/>
          <w:szCs w:val="20"/>
          <w:color w:val="auto"/>
        </w:rPr>
      </w:pPr>
      <w:r>
        <w:rPr>
          <w:rFonts w:ascii="Times New Roman" w:cs="Times New Roman" w:eastAsia="Times New Roman" w:hAnsi="Times New Roman"/>
          <w:sz w:val="22"/>
          <w:szCs w:val="22"/>
          <w:color w:val="auto"/>
        </w:rPr>
        <w:t>An employee benefit plan or endowment fund in accordance with § 240.13d-1(b)(1)(ii)(F);</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-151130</wp:posOffset>
            </wp:positionV>
            <wp:extent cx="128905" cy="12890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38" w:lineRule="exact"/>
        <w:rPr>
          <w:sz w:val="20"/>
          <w:szCs w:val="20"/>
          <w:color w:val="auto"/>
        </w:rPr>
      </w:pPr>
    </w:p>
    <w:p>
      <w:pPr>
        <w:ind w:left="360"/>
        <w:spacing w:after="0"/>
        <w:rPr>
          <w:sz w:val="20"/>
          <w:szCs w:val="20"/>
          <w:color w:val="auto"/>
        </w:rPr>
      </w:pPr>
      <w:r>
        <w:rPr>
          <w:rFonts w:ascii="Times New Roman" w:cs="Times New Roman" w:eastAsia="Times New Roman" w:hAnsi="Times New Roman"/>
          <w:sz w:val="22"/>
          <w:szCs w:val="22"/>
          <w:color w:val="auto"/>
        </w:rPr>
        <w:t>A parent holding company or control person in accordance with § 240.13d-1(b)(1)(ii)(G);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-151130</wp:posOffset>
            </wp:positionV>
            <wp:extent cx="128905" cy="12890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38" w:lineRule="exact"/>
        <w:rPr>
          <w:sz w:val="20"/>
          <w:szCs w:val="20"/>
          <w:color w:val="auto"/>
        </w:rPr>
      </w:pPr>
    </w:p>
    <w:p>
      <w:pPr>
        <w:ind w:left="360"/>
        <w:spacing w:after="0"/>
        <w:rPr>
          <w:sz w:val="20"/>
          <w:szCs w:val="20"/>
          <w:color w:val="auto"/>
        </w:rPr>
      </w:pPr>
      <w:r>
        <w:rPr>
          <w:rFonts w:ascii="Times New Roman" w:cs="Times New Roman" w:eastAsia="Times New Roman" w:hAnsi="Times New Roman"/>
          <w:sz w:val="22"/>
          <w:szCs w:val="22"/>
          <w:color w:val="auto"/>
        </w:rPr>
        <w:t>A savings associations as defined in Section 3(b) of the Federal Deposit Insurance Act (12 U.S.C. 1813);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-151130</wp:posOffset>
            </wp:positionV>
            <wp:extent cx="128905" cy="12890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38" w:lineRule="exact"/>
        <w:rPr>
          <w:sz w:val="20"/>
          <w:szCs w:val="20"/>
          <w:color w:val="auto"/>
        </w:rPr>
      </w:pPr>
    </w:p>
    <w:p>
      <w:pPr>
        <w:ind w:right="600"/>
        <w:spacing w:after="0" w:line="258" w:lineRule="auto"/>
        <w:rPr>
          <w:sz w:val="20"/>
          <w:szCs w:val="20"/>
          <w:color w:val="auto"/>
        </w:rPr>
      </w:pPr>
      <w:r>
        <w:rPr>
          <w:sz w:val="1"/>
          <w:szCs w:val="1"/>
          <w:color w:val="auto"/>
        </w:rPr>
        <w:drawing>
          <wp:inline distT="0" distB="0" distL="0" distR="0">
            <wp:extent cx="128905" cy="128905"/>
            <wp:effectExtent l="0" t="0" r="0" b="0"/>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 church plan that is excluded from the definition of an investment company under section 3(c)(14) of the Investment Company Act of 1940 (15 U.S.C. 80a-3);</w:t>
      </w:r>
    </w:p>
    <w:p>
      <w:pPr>
        <w:spacing w:after="0" w:line="10" w:lineRule="exact"/>
        <w:rPr>
          <w:sz w:val="20"/>
          <w:szCs w:val="20"/>
          <w:color w:val="auto"/>
        </w:rPr>
      </w:pPr>
    </w:p>
    <w:p>
      <w:pPr>
        <w:ind w:right="940"/>
        <w:spacing w:after="0" w:line="241" w:lineRule="auto"/>
        <w:rPr>
          <w:sz w:val="20"/>
          <w:szCs w:val="20"/>
          <w:color w:val="auto"/>
        </w:rPr>
      </w:pPr>
      <w:r>
        <w:rPr>
          <w:sz w:val="1"/>
          <w:szCs w:val="1"/>
          <w:color w:val="auto"/>
        </w:rPr>
        <w:drawing>
          <wp:inline distT="0" distB="0" distL="0" distR="0">
            <wp:extent cx="128905" cy="128905"/>
            <wp:effectExtent l="0" t="0" r="0" b="0"/>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 non-U.S. institution in accordance with § 240.13d-1(b)(1)(ii)(J). If filing as a non-U.S. institution in accordance with § 240.13d-1(b)(1)(ii)(J),</w:t>
      </w:r>
    </w:p>
    <w:p>
      <w:pPr>
        <w:spacing w:after="0" w:line="2"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22"/>
          <w:szCs w:val="22"/>
          <w:color w:val="auto"/>
        </w:rPr>
        <w:t>please specify the type of institution:</w:t>
      </w:r>
    </w:p>
    <w:p>
      <w:pPr>
        <w:spacing w:after="0" w:line="34"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22"/>
          <w:szCs w:val="22"/>
          <w:color w:val="auto"/>
        </w:rPr>
        <w:t>Group, in accordance with Rule 240.13d-1(b)(1)(ii)(K).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-151130</wp:posOffset>
            </wp:positionV>
            <wp:extent cx="128905" cy="12890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32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Ownership</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Amount beneficially owned:</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6,068,549</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Percent of class:</w:t>
      </w:r>
    </w:p>
    <w:p>
      <w:pPr>
        <w:spacing w:after="0" w:line="256" w:lineRule="exact"/>
        <w:rPr>
          <w:sz w:val="20"/>
          <w:szCs w:val="20"/>
          <w:color w:val="auto"/>
        </w:rPr>
      </w:pPr>
    </w:p>
    <w:p>
      <w:pPr>
        <w:sectPr>
          <w:pgSz w:w="11900" w:h="16838" w:orient="portrait"/>
          <w:cols w:equalWidth="0" w:num="2">
            <w:col w:w="620" w:space="300"/>
            <w:col w:w="10140"/>
          </w:cols>
          <w:pgMar w:left="360" w:top="112" w:right="479" w:bottom="0" w:gutter="0" w:footer="0" w:header="0"/>
        </w:sectPr>
      </w:pPr>
    </w:p>
    <w:p>
      <w:pPr>
        <w:ind w:left="920"/>
        <w:spacing w:after="0"/>
        <w:rPr>
          <w:sz w:val="20"/>
          <w:szCs w:val="20"/>
          <w:color w:val="auto"/>
        </w:rPr>
      </w:pPr>
      <w:r>
        <w:rPr>
          <w:rFonts w:ascii="Times New Roman" w:cs="Times New Roman" w:eastAsia="Times New Roman" w:hAnsi="Times New Roman"/>
          <w:sz w:val="22"/>
          <w:szCs w:val="22"/>
          <w:color w:val="auto"/>
        </w:rPr>
        <w:t>5.0% %</w:t>
      </w:r>
    </w:p>
    <w:p>
      <w:pPr>
        <w:spacing w:after="0" w:line="20" w:lineRule="exact"/>
        <w:rPr>
          <w:sz w:val="20"/>
          <w:szCs w:val="20"/>
          <w:color w:val="auto"/>
        </w:rPr>
      </w:pPr>
    </w:p>
    <w:p>
      <w:pPr>
        <w:ind w:left="920" w:hanging="912"/>
        <w:spacing w:after="0"/>
        <w:tabs>
          <w:tab w:leader="none" w:pos="920" w:val="left"/>
        </w:tabs>
        <w:numPr>
          <w:ilvl w:val="0"/>
          <w:numId w:val="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Number of shares as to which the person has:</w:t>
      </w:r>
    </w:p>
    <w:p>
      <w:pPr>
        <w:spacing w:after="0" w:line="44" w:lineRule="exact"/>
        <w:rPr>
          <w:rFonts w:ascii="Times New Roman" w:cs="Times New Roman" w:eastAsia="Times New Roman" w:hAnsi="Times New Roman"/>
          <w:sz w:val="22"/>
          <w:szCs w:val="22"/>
          <w:color w:val="auto"/>
        </w:rPr>
      </w:pPr>
    </w:p>
    <w:p>
      <w:pPr>
        <w:ind w:left="920"/>
        <w:spacing w:after="0"/>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(i) Sole power to vote or to direct the vote:</w:t>
      </w:r>
    </w:p>
    <w:p>
      <w:pPr>
        <w:spacing w:after="0" w:line="233"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21"/>
          <w:szCs w:val="21"/>
          <w:color w:val="auto"/>
        </w:rPr>
        <w:t>ClearBridge Investments, LLC: 13,325 ClearBridge Investments Limited: 5,279,011 ClearBridge Investments (North</w:t>
      </w:r>
    </w:p>
    <w:p>
      <w:pPr>
        <w:spacing w:after="0" w:line="26"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22"/>
          <w:szCs w:val="22"/>
          <w:color w:val="auto"/>
        </w:rPr>
        <w:t>America) Pty Ltd: 776,213</w:t>
      </w:r>
    </w:p>
    <w:p>
      <w:pPr>
        <w:spacing w:after="0" w:line="263" w:lineRule="exact"/>
        <w:rPr>
          <w:sz w:val="20"/>
          <w:szCs w:val="20"/>
          <w:color w:val="auto"/>
        </w:rPr>
      </w:pPr>
    </w:p>
    <w:p>
      <w:pPr>
        <w:ind w:left="1240" w:hanging="314"/>
        <w:spacing w:after="0"/>
        <w:tabs>
          <w:tab w:leader="none" w:pos="1240" w:val="left"/>
        </w:tabs>
        <w:numPr>
          <w:ilvl w:val="0"/>
          <w:numId w:val="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Shared power to vote or to direct the vote:</w:t>
      </w:r>
    </w:p>
    <w:p>
      <w:pPr>
        <w:spacing w:after="0" w:line="233" w:lineRule="exact"/>
        <w:rPr>
          <w:rFonts w:ascii="Times New Roman" w:cs="Times New Roman" w:eastAsia="Times New Roman" w:hAnsi="Times New Roman"/>
          <w:sz w:val="22"/>
          <w:szCs w:val="22"/>
          <w:color w:val="auto"/>
        </w:rPr>
      </w:pPr>
    </w:p>
    <w:p>
      <w:pPr>
        <w:ind w:left="920"/>
        <w:spacing w:after="0"/>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0</w:t>
      </w:r>
    </w:p>
    <w:p>
      <w:pPr>
        <w:spacing w:after="0" w:line="287" w:lineRule="exact"/>
        <w:rPr>
          <w:rFonts w:ascii="Times New Roman" w:cs="Times New Roman" w:eastAsia="Times New Roman" w:hAnsi="Times New Roman"/>
          <w:sz w:val="22"/>
          <w:szCs w:val="22"/>
          <w:color w:val="auto"/>
        </w:rPr>
      </w:pPr>
    </w:p>
    <w:p>
      <w:pPr>
        <w:ind w:left="1300" w:hanging="374"/>
        <w:spacing w:after="0"/>
        <w:tabs>
          <w:tab w:leader="none" w:pos="1300" w:val="left"/>
        </w:tabs>
        <w:numPr>
          <w:ilvl w:val="0"/>
          <w:numId w:val="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Sole power to dispose or to direct the disposition of:</w:t>
      </w:r>
    </w:p>
    <w:p>
      <w:pPr>
        <w:spacing w:after="0" w:line="233"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21"/>
          <w:szCs w:val="21"/>
          <w:color w:val="auto"/>
        </w:rPr>
        <w:t>ClearBridge Investments, LLC: 13,325 ClearBridge Investments Limited: 5,279,011 ClearBridge Investments (North</w:t>
      </w:r>
    </w:p>
    <w:p>
      <w:pPr>
        <w:spacing w:after="0" w:line="26"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22"/>
          <w:szCs w:val="22"/>
          <w:color w:val="auto"/>
        </w:rPr>
        <w:t>America) Pty Ltd: 776,213</w:t>
      </w:r>
    </w:p>
    <w:p>
      <w:pPr>
        <w:spacing w:after="0" w:line="263" w:lineRule="exact"/>
        <w:rPr>
          <w:sz w:val="20"/>
          <w:szCs w:val="20"/>
          <w:color w:val="auto"/>
        </w:rPr>
      </w:pPr>
    </w:p>
    <w:p>
      <w:pPr>
        <w:ind w:left="1300" w:hanging="374"/>
        <w:spacing w:after="0"/>
        <w:tabs>
          <w:tab w:leader="none" w:pos="1300" w:val="left"/>
        </w:tabs>
        <w:numPr>
          <w:ilvl w:val="0"/>
          <w:numId w:val="8"/>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Shared power to dispose or to direct the disposition of:</w:t>
      </w:r>
    </w:p>
    <w:p>
      <w:pPr>
        <w:spacing w:after="0" w:line="233" w:lineRule="exact"/>
        <w:rPr>
          <w:rFonts w:ascii="Times New Roman" w:cs="Times New Roman" w:eastAsia="Times New Roman" w:hAnsi="Times New Roman"/>
          <w:sz w:val="22"/>
          <w:szCs w:val="22"/>
          <w:color w:val="auto"/>
        </w:rPr>
      </w:pPr>
    </w:p>
    <w:p>
      <w:pPr>
        <w:ind w:left="920"/>
        <w:spacing w:after="0"/>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0</w:t>
      </w:r>
    </w:p>
    <w:p>
      <w:pPr>
        <w:spacing w:after="0" w:line="287" w:lineRule="exact"/>
        <w:rPr>
          <w:sz w:val="20"/>
          <w:szCs w:val="20"/>
          <w:color w:val="auto"/>
        </w:rPr>
      </w:pPr>
    </w:p>
    <w:p>
      <w:pPr>
        <w:spacing w:after="0"/>
        <w:tabs>
          <w:tab w:leader="none" w:pos="900" w:val="left"/>
        </w:tabs>
        <w:rPr>
          <w:sz w:val="20"/>
          <w:szCs w:val="20"/>
          <w:color w:val="auto"/>
        </w:rPr>
      </w:pPr>
      <w:r>
        <w:rPr>
          <w:rFonts w:ascii="Times New Roman" w:cs="Times New Roman" w:eastAsia="Times New Roman" w:hAnsi="Times New Roman"/>
          <w:sz w:val="22"/>
          <w:szCs w:val="22"/>
          <w:color w:val="auto"/>
        </w:rPr>
        <w:t>Item 5.</w:t>
      </w:r>
      <w:r>
        <w:rPr>
          <w:sz w:val="20"/>
          <w:szCs w:val="20"/>
          <w:color w:val="auto"/>
        </w:rPr>
        <w:tab/>
      </w:r>
      <w:r>
        <w:rPr>
          <w:rFonts w:ascii="Times New Roman" w:cs="Times New Roman" w:eastAsia="Times New Roman" w:hAnsi="Times New Roman"/>
          <w:sz w:val="21"/>
          <w:szCs w:val="21"/>
          <w:color w:val="auto"/>
        </w:rPr>
        <w:t>Ownership of 5 Percent or Less of a Class.</w:t>
      </w:r>
    </w:p>
    <w:p>
      <w:pPr>
        <w:spacing w:after="0" w:line="341" w:lineRule="exact"/>
        <w:rPr>
          <w:sz w:val="20"/>
          <w:szCs w:val="20"/>
          <w:color w:val="auto"/>
        </w:rPr>
      </w:pPr>
    </w:p>
    <w:p>
      <w:pPr>
        <w:spacing w:after="0"/>
        <w:tabs>
          <w:tab w:leader="none" w:pos="900" w:val="left"/>
        </w:tabs>
        <w:rPr>
          <w:sz w:val="20"/>
          <w:szCs w:val="20"/>
          <w:color w:val="auto"/>
        </w:rPr>
      </w:pPr>
      <w:r>
        <w:rPr>
          <w:rFonts w:ascii="Times New Roman" w:cs="Times New Roman" w:eastAsia="Times New Roman" w:hAnsi="Times New Roman"/>
          <w:sz w:val="22"/>
          <w:szCs w:val="22"/>
          <w:color w:val="auto"/>
        </w:rPr>
        <w:t>Item 6.</w:t>
      </w:r>
      <w:r>
        <w:rPr>
          <w:sz w:val="20"/>
          <w:szCs w:val="20"/>
          <w:color w:val="auto"/>
        </w:rPr>
        <w:tab/>
      </w:r>
      <w:r>
        <w:rPr>
          <w:rFonts w:ascii="Times New Roman" w:cs="Times New Roman" w:eastAsia="Times New Roman" w:hAnsi="Times New Roman"/>
          <w:sz w:val="21"/>
          <w:szCs w:val="21"/>
          <w:color w:val="auto"/>
        </w:rPr>
        <w:t>Ownership of more than 5 Percent on Behalf of Another Person.</w:t>
      </w:r>
    </w:p>
    <w:p>
      <w:pPr>
        <w:spacing w:after="0" w:line="44"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22"/>
          <w:szCs w:val="22"/>
          <w:color w:val="auto"/>
        </w:rPr>
        <w:t>Not Applicable</w:t>
      </w:r>
    </w:p>
    <w:p>
      <w:pPr>
        <w:spacing w:after="0" w:line="44" w:lineRule="exact"/>
        <w:rPr>
          <w:sz w:val="20"/>
          <w:szCs w:val="20"/>
          <w:color w:val="auto"/>
        </w:rPr>
      </w:pPr>
    </w:p>
    <w:p>
      <w:pPr>
        <w:spacing w:after="0"/>
        <w:tabs>
          <w:tab w:leader="none" w:pos="900" w:val="left"/>
        </w:tabs>
        <w:rPr>
          <w:sz w:val="20"/>
          <w:szCs w:val="20"/>
          <w:color w:val="auto"/>
        </w:rPr>
      </w:pPr>
      <w:r>
        <w:rPr>
          <w:rFonts w:ascii="Times New Roman" w:cs="Times New Roman" w:eastAsia="Times New Roman" w:hAnsi="Times New Roman"/>
          <w:sz w:val="22"/>
          <w:szCs w:val="22"/>
          <w:color w:val="auto"/>
        </w:rPr>
        <w:t>Item 7.</w:t>
      </w:r>
      <w:r>
        <w:rPr>
          <w:sz w:val="20"/>
          <w:szCs w:val="20"/>
          <w:color w:val="auto"/>
        </w:rPr>
        <w:tab/>
      </w:r>
      <w:r>
        <w:rPr>
          <w:rFonts w:ascii="Times New Roman" w:cs="Times New Roman" w:eastAsia="Times New Roman" w:hAnsi="Times New Roman"/>
          <w:sz w:val="21"/>
          <w:szCs w:val="21"/>
          <w:color w:val="auto"/>
        </w:rPr>
        <w:t>Identification and Classification of the Subsidiary Which Acquired the Security Being Reported on by the Parent</w:t>
      </w:r>
    </w:p>
    <w:p>
      <w:pPr>
        <w:sectPr>
          <w:pgSz w:w="11900" w:h="16838" w:orient="portrait"/>
          <w:cols w:equalWidth="0" w:num="1">
            <w:col w:w="11060"/>
          </w:cols>
          <w:pgMar w:left="360" w:top="112" w:right="479" w:bottom="0" w:gutter="0" w:footer="0" w:header="0"/>
          <w:type w:val="continuous"/>
        </w:sectPr>
      </w:pPr>
    </w:p>
    <w:bookmarkStart w:id="4" w:name="page5"/>
    <w:bookmarkEnd w:id="4"/>
    <w:p>
      <w:pPr>
        <w:spacing w:after="0" w:line="60"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22"/>
          <w:szCs w:val="22"/>
          <w:color w:val="auto"/>
        </w:rPr>
        <w:t>Holding Company or Control Person.</w:t>
      </w:r>
    </w:p>
    <w:p>
      <w:pPr>
        <w:spacing w:after="0" w:line="45"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22"/>
          <w:szCs w:val="22"/>
          <w:color w:val="auto"/>
        </w:rPr>
        <w:t>Not Applicable</w:t>
      </w:r>
    </w:p>
    <w:p>
      <w:pPr>
        <w:spacing w:after="0" w:line="44" w:lineRule="exact"/>
        <w:rPr>
          <w:sz w:val="20"/>
          <w:szCs w:val="20"/>
          <w:color w:val="auto"/>
        </w:rPr>
      </w:pPr>
    </w:p>
    <w:p>
      <w:pPr>
        <w:spacing w:after="0"/>
        <w:tabs>
          <w:tab w:leader="none" w:pos="900" w:val="left"/>
        </w:tabs>
        <w:rPr>
          <w:sz w:val="20"/>
          <w:szCs w:val="20"/>
          <w:color w:val="auto"/>
        </w:rPr>
      </w:pPr>
      <w:r>
        <w:rPr>
          <w:rFonts w:ascii="Times New Roman" w:cs="Times New Roman" w:eastAsia="Times New Roman" w:hAnsi="Times New Roman"/>
          <w:sz w:val="22"/>
          <w:szCs w:val="22"/>
          <w:color w:val="auto"/>
        </w:rPr>
        <w:t>Item 8.</w:t>
      </w:r>
      <w:r>
        <w:rPr>
          <w:sz w:val="20"/>
          <w:szCs w:val="20"/>
          <w:color w:val="auto"/>
        </w:rPr>
        <w:tab/>
      </w:r>
      <w:r>
        <w:rPr>
          <w:rFonts w:ascii="Times New Roman" w:cs="Times New Roman" w:eastAsia="Times New Roman" w:hAnsi="Times New Roman"/>
          <w:sz w:val="21"/>
          <w:szCs w:val="21"/>
          <w:color w:val="auto"/>
        </w:rPr>
        <w:t>Identification and Classification of Members of the Group.</w:t>
      </w:r>
    </w:p>
    <w:p>
      <w:pPr>
        <w:spacing w:after="0" w:line="44"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22"/>
          <w:szCs w:val="22"/>
          <w:color w:val="auto"/>
        </w:rPr>
        <w:t>Not Applicable</w:t>
      </w:r>
    </w:p>
    <w:p>
      <w:pPr>
        <w:spacing w:after="0" w:line="44" w:lineRule="exact"/>
        <w:rPr>
          <w:sz w:val="20"/>
          <w:szCs w:val="20"/>
          <w:color w:val="auto"/>
        </w:rPr>
      </w:pPr>
    </w:p>
    <w:p>
      <w:pPr>
        <w:spacing w:after="0"/>
        <w:tabs>
          <w:tab w:leader="none" w:pos="900" w:val="left"/>
        </w:tabs>
        <w:rPr>
          <w:sz w:val="20"/>
          <w:szCs w:val="20"/>
          <w:color w:val="auto"/>
        </w:rPr>
      </w:pPr>
      <w:r>
        <w:rPr>
          <w:rFonts w:ascii="Times New Roman" w:cs="Times New Roman" w:eastAsia="Times New Roman" w:hAnsi="Times New Roman"/>
          <w:sz w:val="22"/>
          <w:szCs w:val="22"/>
          <w:color w:val="auto"/>
        </w:rPr>
        <w:t>Item 9.</w:t>
      </w:r>
      <w:r>
        <w:rPr>
          <w:sz w:val="20"/>
          <w:szCs w:val="20"/>
          <w:color w:val="auto"/>
        </w:rPr>
        <w:tab/>
      </w:r>
      <w:r>
        <w:rPr>
          <w:rFonts w:ascii="Times New Roman" w:cs="Times New Roman" w:eastAsia="Times New Roman" w:hAnsi="Times New Roman"/>
          <w:sz w:val="21"/>
          <w:szCs w:val="21"/>
          <w:color w:val="auto"/>
        </w:rPr>
        <w:t>Notice of Dissolution of Group.</w:t>
      </w:r>
    </w:p>
    <w:p>
      <w:pPr>
        <w:spacing w:after="0" w:line="44"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22"/>
          <w:szCs w:val="22"/>
          <w:color w:val="auto"/>
        </w:rPr>
        <w:t>Not Applicable</w:t>
      </w:r>
    </w:p>
    <w:p>
      <w:pPr>
        <w:spacing w:after="0" w:line="314" w:lineRule="exact"/>
        <w:rPr>
          <w:sz w:val="20"/>
          <w:szCs w:val="20"/>
          <w:color w:val="auto"/>
        </w:rPr>
      </w:pPr>
    </w:p>
    <w:p>
      <w:pPr>
        <w:spacing w:after="0"/>
        <w:tabs>
          <w:tab w:leader="none" w:pos="920" w:val="left"/>
        </w:tabs>
        <w:rPr>
          <w:sz w:val="20"/>
          <w:szCs w:val="20"/>
          <w:color w:val="auto"/>
        </w:rPr>
      </w:pPr>
      <w:r>
        <w:rPr>
          <w:rFonts w:ascii="Times New Roman" w:cs="Times New Roman" w:eastAsia="Times New Roman" w:hAnsi="Times New Roman"/>
          <w:sz w:val="22"/>
          <w:szCs w:val="22"/>
          <w:color w:val="auto"/>
        </w:rPr>
        <w:t>Item 10.</w:t>
      </w:r>
      <w:r>
        <w:rPr>
          <w:sz w:val="20"/>
          <w:szCs w:val="20"/>
          <w:color w:val="auto"/>
        </w:rPr>
        <w:tab/>
      </w:r>
      <w:r>
        <w:rPr>
          <w:rFonts w:ascii="Times New Roman" w:cs="Times New Roman" w:eastAsia="Times New Roman" w:hAnsi="Times New Roman"/>
          <w:sz w:val="21"/>
          <w:szCs w:val="21"/>
          <w:color w:val="auto"/>
        </w:rPr>
        <w:t>Certifications:</w:t>
      </w:r>
    </w:p>
    <w:p>
      <w:pPr>
        <w:spacing w:after="0" w:line="44" w:lineRule="exact"/>
        <w:rPr>
          <w:sz w:val="20"/>
          <w:szCs w:val="20"/>
          <w:color w:val="auto"/>
        </w:rPr>
      </w:pPr>
    </w:p>
    <w:p>
      <w:pPr>
        <w:ind w:left="940" w:right="40"/>
        <w:spacing w:after="0" w:line="238" w:lineRule="auto"/>
        <w:rPr>
          <w:sz w:val="20"/>
          <w:szCs w:val="20"/>
          <w:color w:val="auto"/>
        </w:rPr>
      </w:pPr>
      <w:r>
        <w:rPr>
          <w:rFonts w:ascii="Times New Roman" w:cs="Times New Roman" w:eastAsia="Times New Roman" w:hAnsi="Times New Roman"/>
          <w:sz w:val="22"/>
          <w:szCs w:val="22"/>
          <w:color w:val="auto"/>
        </w:rPr>
        <w:t>By signing below I certify that, to the best of my knowledge and belief, the securities referred to above were acquired and are held in the ordinary course of business and were not acquired and are not held for the purpose of or with the effect of changing or influencing the control of the issuer of the securities and were not acquired and are not held in connection with or as a participant in any transaction having that purpose or effect, other than activities solely in connection with a nomination under § 240.14a-11.</w:t>
      </w:r>
    </w:p>
    <w:p>
      <w:pPr>
        <w:spacing w:after="0" w:line="285" w:lineRule="exact"/>
        <w:rPr>
          <w:sz w:val="20"/>
          <w:szCs w:val="20"/>
          <w:color w:val="auto"/>
        </w:rPr>
      </w:pPr>
    </w:p>
    <w:p>
      <w:pPr>
        <w:ind w:left="220"/>
        <w:spacing w:after="0"/>
        <w:rPr>
          <w:sz w:val="20"/>
          <w:szCs w:val="20"/>
          <w:color w:val="auto"/>
        </w:rPr>
      </w:pPr>
      <w:r>
        <w:rPr>
          <w:rFonts w:ascii="Times New Roman" w:cs="Times New Roman" w:eastAsia="Times New Roman" w:hAnsi="Times New Roman"/>
          <w:sz w:val="22"/>
          <w:szCs w:val="22"/>
          <w:color w:val="auto"/>
        </w:rPr>
        <w:t>SIGNATURE</w:t>
      </w:r>
    </w:p>
    <w:p>
      <w:pPr>
        <w:spacing w:after="0" w:line="44" w:lineRule="exact"/>
        <w:rPr>
          <w:sz w:val="20"/>
          <w:szCs w:val="20"/>
          <w:color w:val="auto"/>
        </w:rPr>
      </w:pPr>
    </w:p>
    <w:p>
      <w:pPr>
        <w:ind w:left="1480"/>
        <w:spacing w:after="0" w:line="258" w:lineRule="auto"/>
        <w:rPr>
          <w:sz w:val="20"/>
          <w:szCs w:val="20"/>
          <w:color w:val="auto"/>
        </w:rPr>
      </w:pPr>
      <w:r>
        <w:rPr>
          <w:rFonts w:ascii="Times New Roman" w:cs="Times New Roman" w:eastAsia="Times New Roman" w:hAnsi="Times New Roman"/>
          <w:sz w:val="22"/>
          <w:szCs w:val="22"/>
          <w:color w:val="auto"/>
        </w:rPr>
        <w:t>After reasonable inquiry and to the best of my knowledge and belief, I certify that the information set forth in this statement is true, complete and correct.</w:t>
      </w:r>
    </w:p>
    <w:p>
      <w:pPr>
        <w:spacing w:after="0" w:line="307" w:lineRule="exact"/>
        <w:rPr>
          <w:sz w:val="20"/>
          <w:szCs w:val="20"/>
          <w:color w:val="auto"/>
        </w:rPr>
      </w:pPr>
    </w:p>
    <w:p>
      <w:pPr>
        <w:ind w:left="2840"/>
        <w:spacing w:after="0"/>
        <w:rPr>
          <w:sz w:val="20"/>
          <w:szCs w:val="20"/>
          <w:color w:val="auto"/>
        </w:rPr>
      </w:pPr>
      <w:r>
        <w:rPr>
          <w:rFonts w:ascii="Times New Roman" w:cs="Times New Roman" w:eastAsia="Times New Roman" w:hAnsi="Times New Roman"/>
          <w:sz w:val="22"/>
          <w:szCs w:val="22"/>
          <w:color w:val="auto"/>
        </w:rPr>
        <w:t>Clearbridge Investments, LLC</w:t>
      </w:r>
    </w:p>
    <w:p>
      <w:pPr>
        <w:spacing w:after="0" w:line="152" w:lineRule="exact"/>
        <w:rPr>
          <w:sz w:val="20"/>
          <w:szCs w:val="20"/>
          <w:color w:val="auto"/>
        </w:rPr>
      </w:pPr>
    </w:p>
    <w:p>
      <w:pPr>
        <w:ind w:left="5660"/>
        <w:spacing w:after="0"/>
        <w:tabs>
          <w:tab w:leader="none" w:pos="6720" w:val="left"/>
        </w:tabs>
        <w:rPr>
          <w:sz w:val="20"/>
          <w:szCs w:val="20"/>
          <w:color w:val="auto"/>
        </w:rPr>
      </w:pPr>
      <w:r>
        <w:rPr>
          <w:rFonts w:ascii="Times New Roman" w:cs="Times New Roman" w:eastAsia="Times New Roman" w:hAnsi="Times New Roman"/>
          <w:sz w:val="22"/>
          <w:szCs w:val="22"/>
          <w:color w:val="auto"/>
        </w:rPr>
        <w:t>Signature:</w:t>
      </w:r>
      <w:r>
        <w:rPr>
          <w:sz w:val="20"/>
          <w:szCs w:val="20"/>
          <w:color w:val="auto"/>
        </w:rPr>
        <w:tab/>
      </w:r>
      <w:r>
        <w:rPr>
          <w:rFonts w:ascii="Times New Roman" w:cs="Times New Roman" w:eastAsia="Times New Roman" w:hAnsi="Times New Roman"/>
          <w:sz w:val="21"/>
          <w:szCs w:val="21"/>
          <w:color w:val="auto"/>
        </w:rPr>
        <w:t>/s/BRIAN R. MURPHY</w:t>
      </w:r>
    </w:p>
    <w:p>
      <w:pPr>
        <w:ind w:left="5660"/>
        <w:spacing w:after="0" w:line="180" w:lineRule="auto"/>
        <w:rPr>
          <w:sz w:val="20"/>
          <w:szCs w:val="20"/>
          <w:color w:val="auto"/>
        </w:rPr>
      </w:pPr>
      <w:r>
        <w:rPr>
          <w:rFonts w:ascii="Times New Roman" w:cs="Times New Roman" w:eastAsia="Times New Roman" w:hAnsi="Times New Roman"/>
          <w:sz w:val="36"/>
          <w:szCs w:val="36"/>
          <w:color w:val="auto"/>
          <w:vertAlign w:val="subscript"/>
        </w:rPr>
        <w:t>Name/Title:</w:t>
      </w:r>
      <w:r>
        <w:rPr>
          <w:rFonts w:ascii="Times New Roman" w:cs="Times New Roman" w:eastAsia="Times New Roman" w:hAnsi="Times New Roman"/>
          <w:sz w:val="19"/>
          <w:szCs w:val="19"/>
          <w:color w:val="auto"/>
        </w:rPr>
        <w:t xml:space="preserve"> Brian R. Murphy, Chief Compliance Officer of</w:t>
      </w:r>
    </w:p>
    <w:p>
      <w:pPr>
        <w:spacing w:after="0" w:line="1" w:lineRule="exact"/>
        <w:rPr>
          <w:sz w:val="20"/>
          <w:szCs w:val="20"/>
          <w:color w:val="auto"/>
        </w:rPr>
      </w:pPr>
    </w:p>
    <w:p>
      <w:pPr>
        <w:ind w:left="6740"/>
        <w:spacing w:after="0"/>
        <w:rPr>
          <w:sz w:val="20"/>
          <w:szCs w:val="20"/>
          <w:color w:val="auto"/>
        </w:rPr>
      </w:pPr>
      <w:r>
        <w:rPr>
          <w:rFonts w:ascii="Times New Roman" w:cs="Times New Roman" w:eastAsia="Times New Roman" w:hAnsi="Times New Roman"/>
          <w:sz w:val="22"/>
          <w:szCs w:val="22"/>
          <w:color w:val="auto"/>
        </w:rPr>
        <w:t>ClearBridge Investments, LLC</w:t>
      </w:r>
    </w:p>
    <w:p>
      <w:pPr>
        <w:spacing w:after="0" w:line="20" w:lineRule="exact"/>
        <w:rPr>
          <w:sz w:val="20"/>
          <w:szCs w:val="20"/>
          <w:color w:val="auto"/>
        </w:rPr>
      </w:pPr>
    </w:p>
    <w:p>
      <w:pPr>
        <w:ind w:left="5660"/>
        <w:spacing w:after="0"/>
        <w:tabs>
          <w:tab w:leader="none" w:pos="6720" w:val="left"/>
        </w:tabs>
        <w:rPr>
          <w:sz w:val="20"/>
          <w:szCs w:val="20"/>
          <w:color w:val="auto"/>
        </w:rPr>
      </w:pPr>
      <w:r>
        <w:rPr>
          <w:rFonts w:ascii="Times New Roman" w:cs="Times New Roman" w:eastAsia="Times New Roman" w:hAnsi="Times New Roman"/>
          <w:sz w:val="22"/>
          <w:szCs w:val="22"/>
          <w:color w:val="auto"/>
        </w:rPr>
        <w:t>Date:</w:t>
      </w:r>
      <w:r>
        <w:rPr>
          <w:sz w:val="20"/>
          <w:szCs w:val="20"/>
          <w:color w:val="auto"/>
        </w:rPr>
        <w:tab/>
      </w:r>
      <w:r>
        <w:rPr>
          <w:rFonts w:ascii="Times New Roman" w:cs="Times New Roman" w:eastAsia="Times New Roman" w:hAnsi="Times New Roman"/>
          <w:sz w:val="22"/>
          <w:szCs w:val="22"/>
          <w:color w:val="auto"/>
        </w:rPr>
        <w:t>10/29/2026</w:t>
      </w:r>
    </w:p>
    <w:p>
      <w:pPr>
        <w:spacing w:after="0" w:line="152" w:lineRule="exact"/>
        <w:rPr>
          <w:sz w:val="20"/>
          <w:szCs w:val="20"/>
          <w:color w:val="auto"/>
        </w:rPr>
      </w:pPr>
    </w:p>
    <w:p>
      <w:pPr>
        <w:ind w:left="2700"/>
        <w:spacing w:after="0"/>
        <w:rPr>
          <w:sz w:val="20"/>
          <w:szCs w:val="20"/>
          <w:color w:val="auto"/>
        </w:rPr>
      </w:pPr>
      <w:r>
        <w:rPr>
          <w:rFonts w:ascii="Times New Roman" w:cs="Times New Roman" w:eastAsia="Times New Roman" w:hAnsi="Times New Roman"/>
          <w:sz w:val="22"/>
          <w:szCs w:val="22"/>
          <w:color w:val="auto"/>
        </w:rPr>
        <w:t>ClearBridge Investments Ltd</w:t>
      </w:r>
    </w:p>
    <w:p>
      <w:pPr>
        <w:spacing w:after="0" w:line="152" w:lineRule="exact"/>
        <w:rPr>
          <w:sz w:val="20"/>
          <w:szCs w:val="20"/>
          <w:color w:val="auto"/>
        </w:rPr>
      </w:pPr>
    </w:p>
    <w:p>
      <w:pPr>
        <w:ind w:left="5660"/>
        <w:spacing w:after="0"/>
        <w:tabs>
          <w:tab w:leader="none" w:pos="6720" w:val="left"/>
        </w:tabs>
        <w:rPr>
          <w:sz w:val="20"/>
          <w:szCs w:val="20"/>
          <w:color w:val="auto"/>
        </w:rPr>
      </w:pPr>
      <w:r>
        <w:rPr>
          <w:rFonts w:ascii="Times New Roman" w:cs="Times New Roman" w:eastAsia="Times New Roman" w:hAnsi="Times New Roman"/>
          <w:sz w:val="22"/>
          <w:szCs w:val="22"/>
          <w:color w:val="auto"/>
        </w:rPr>
        <w:t>Signature:</w:t>
      </w:r>
      <w:r>
        <w:rPr>
          <w:sz w:val="20"/>
          <w:szCs w:val="20"/>
          <w:color w:val="auto"/>
        </w:rPr>
        <w:tab/>
      </w:r>
      <w:r>
        <w:rPr>
          <w:rFonts w:ascii="Times New Roman" w:cs="Times New Roman" w:eastAsia="Times New Roman" w:hAnsi="Times New Roman"/>
          <w:sz w:val="21"/>
          <w:szCs w:val="21"/>
          <w:color w:val="auto"/>
        </w:rPr>
        <w:t>/s/ANNETTE GOLDEN</w:t>
      </w:r>
    </w:p>
    <w:p>
      <w:pPr>
        <w:spacing w:after="0" w:line="44" w:lineRule="exact"/>
        <w:rPr>
          <w:sz w:val="20"/>
          <w:szCs w:val="20"/>
          <w:color w:val="auto"/>
        </w:rPr>
      </w:pPr>
    </w:p>
    <w:p>
      <w:pPr>
        <w:ind w:left="6740"/>
        <w:spacing w:after="0"/>
        <w:rPr>
          <w:sz w:val="20"/>
          <w:szCs w:val="20"/>
          <w:color w:val="auto"/>
        </w:rPr>
      </w:pPr>
      <w:r>
        <w:rPr>
          <w:rFonts w:ascii="Times New Roman" w:cs="Times New Roman" w:eastAsia="Times New Roman" w:hAnsi="Times New Roman"/>
          <w:sz w:val="22"/>
          <w:szCs w:val="22"/>
          <w:color w:val="auto"/>
        </w:rPr>
        <w:t>Annette Golden, Head of Legal, Risk and</w:t>
      </w:r>
    </w:p>
    <w:p>
      <w:pPr>
        <w:spacing w:after="0" w:line="14" w:lineRule="exact"/>
        <w:rPr>
          <w:sz w:val="20"/>
          <w:szCs w:val="20"/>
          <w:color w:val="auto"/>
        </w:rPr>
      </w:pPr>
    </w:p>
    <w:p>
      <w:pPr>
        <w:ind w:left="5660"/>
        <w:spacing w:after="0"/>
        <w:rPr>
          <w:sz w:val="20"/>
          <w:szCs w:val="20"/>
          <w:color w:val="auto"/>
        </w:rPr>
      </w:pPr>
      <w:r>
        <w:rPr>
          <w:rFonts w:ascii="Times New Roman" w:cs="Times New Roman" w:eastAsia="Times New Roman" w:hAnsi="Times New Roman"/>
          <w:sz w:val="21"/>
          <w:szCs w:val="21"/>
          <w:color w:val="auto"/>
        </w:rPr>
        <w:t>Name/Title: Compliance &amp; Company Secretary of ClearBridge</w:t>
      </w:r>
    </w:p>
    <w:p>
      <w:pPr>
        <w:spacing w:after="0" w:line="2" w:lineRule="exact"/>
        <w:rPr>
          <w:sz w:val="20"/>
          <w:szCs w:val="20"/>
          <w:color w:val="auto"/>
        </w:rPr>
      </w:pPr>
    </w:p>
    <w:p>
      <w:pPr>
        <w:ind w:left="6740"/>
        <w:spacing w:after="0"/>
        <w:rPr>
          <w:sz w:val="20"/>
          <w:szCs w:val="20"/>
          <w:color w:val="auto"/>
        </w:rPr>
      </w:pPr>
      <w:r>
        <w:rPr>
          <w:rFonts w:ascii="Times New Roman" w:cs="Times New Roman" w:eastAsia="Times New Roman" w:hAnsi="Times New Roman"/>
          <w:sz w:val="22"/>
          <w:szCs w:val="22"/>
          <w:color w:val="auto"/>
        </w:rPr>
        <w:t>Investments Limited</w:t>
      </w:r>
    </w:p>
    <w:p>
      <w:pPr>
        <w:spacing w:after="0" w:line="20" w:lineRule="exact"/>
        <w:rPr>
          <w:sz w:val="20"/>
          <w:szCs w:val="20"/>
          <w:color w:val="auto"/>
        </w:rPr>
      </w:pPr>
    </w:p>
    <w:p>
      <w:pPr>
        <w:ind w:left="5660"/>
        <w:spacing w:after="0"/>
        <w:tabs>
          <w:tab w:leader="none" w:pos="6720" w:val="left"/>
        </w:tabs>
        <w:rPr>
          <w:sz w:val="20"/>
          <w:szCs w:val="20"/>
          <w:color w:val="auto"/>
        </w:rPr>
      </w:pPr>
      <w:r>
        <w:rPr>
          <w:rFonts w:ascii="Times New Roman" w:cs="Times New Roman" w:eastAsia="Times New Roman" w:hAnsi="Times New Roman"/>
          <w:sz w:val="22"/>
          <w:szCs w:val="22"/>
          <w:color w:val="auto"/>
        </w:rPr>
        <w:t>Date:</w:t>
      </w:r>
      <w:r>
        <w:rPr>
          <w:sz w:val="20"/>
          <w:szCs w:val="20"/>
          <w:color w:val="auto"/>
        </w:rPr>
        <w:tab/>
      </w:r>
      <w:r>
        <w:rPr>
          <w:rFonts w:ascii="Times New Roman" w:cs="Times New Roman" w:eastAsia="Times New Roman" w:hAnsi="Times New Roman"/>
          <w:sz w:val="22"/>
          <w:szCs w:val="22"/>
          <w:color w:val="auto"/>
        </w:rPr>
        <w:t>10/30/2026</w:t>
      </w:r>
    </w:p>
    <w:p>
      <w:pPr>
        <w:spacing w:after="0" w:line="152" w:lineRule="exact"/>
        <w:rPr>
          <w:sz w:val="20"/>
          <w:szCs w:val="20"/>
          <w:color w:val="auto"/>
        </w:rPr>
      </w:pPr>
    </w:p>
    <w:p>
      <w:pPr>
        <w:ind w:left="4540"/>
        <w:spacing w:after="0"/>
        <w:rPr>
          <w:sz w:val="20"/>
          <w:szCs w:val="20"/>
          <w:color w:val="auto"/>
        </w:rPr>
      </w:pPr>
      <w:r>
        <w:rPr>
          <w:rFonts w:ascii="Times New Roman" w:cs="Times New Roman" w:eastAsia="Times New Roman" w:hAnsi="Times New Roman"/>
          <w:sz w:val="22"/>
          <w:szCs w:val="22"/>
          <w:color w:val="auto"/>
        </w:rPr>
        <w:t>ClearBridge Investments (North America) Pty Ltd</w:t>
      </w:r>
    </w:p>
    <w:p>
      <w:pPr>
        <w:spacing w:after="0" w:line="152" w:lineRule="exact"/>
        <w:rPr>
          <w:sz w:val="20"/>
          <w:szCs w:val="20"/>
          <w:color w:val="auto"/>
        </w:rPr>
      </w:pPr>
    </w:p>
    <w:p>
      <w:pPr>
        <w:ind w:left="5660"/>
        <w:spacing w:after="0"/>
        <w:tabs>
          <w:tab w:leader="none" w:pos="6720" w:val="left"/>
        </w:tabs>
        <w:rPr>
          <w:sz w:val="20"/>
          <w:szCs w:val="20"/>
          <w:color w:val="auto"/>
        </w:rPr>
      </w:pPr>
      <w:r>
        <w:rPr>
          <w:rFonts w:ascii="Times New Roman" w:cs="Times New Roman" w:eastAsia="Times New Roman" w:hAnsi="Times New Roman"/>
          <w:sz w:val="22"/>
          <w:szCs w:val="22"/>
          <w:color w:val="auto"/>
        </w:rPr>
        <w:t>Signature:</w:t>
      </w:r>
      <w:r>
        <w:rPr>
          <w:sz w:val="20"/>
          <w:szCs w:val="20"/>
          <w:color w:val="auto"/>
        </w:rPr>
        <w:tab/>
      </w:r>
      <w:r>
        <w:rPr>
          <w:rFonts w:ascii="Times New Roman" w:cs="Times New Roman" w:eastAsia="Times New Roman" w:hAnsi="Times New Roman"/>
          <w:sz w:val="21"/>
          <w:szCs w:val="21"/>
          <w:color w:val="auto"/>
        </w:rPr>
        <w:t>/s/ANNETTE GOLDEN</w:t>
      </w:r>
    </w:p>
    <w:p>
      <w:pPr>
        <w:spacing w:after="0" w:line="44" w:lineRule="exact"/>
        <w:rPr>
          <w:sz w:val="20"/>
          <w:szCs w:val="20"/>
          <w:color w:val="auto"/>
        </w:rPr>
      </w:pPr>
    </w:p>
    <w:p>
      <w:pPr>
        <w:ind w:left="6740"/>
        <w:spacing w:after="0"/>
        <w:rPr>
          <w:sz w:val="20"/>
          <w:szCs w:val="20"/>
          <w:color w:val="auto"/>
        </w:rPr>
      </w:pPr>
      <w:r>
        <w:rPr>
          <w:rFonts w:ascii="Times New Roman" w:cs="Times New Roman" w:eastAsia="Times New Roman" w:hAnsi="Times New Roman"/>
          <w:sz w:val="22"/>
          <w:szCs w:val="22"/>
          <w:color w:val="auto"/>
        </w:rPr>
        <w:t>Annette Golden, Head of Legal, Risk and</w:t>
      </w:r>
    </w:p>
    <w:p>
      <w:pPr>
        <w:spacing w:after="0" w:line="14" w:lineRule="exact"/>
        <w:rPr>
          <w:sz w:val="20"/>
          <w:szCs w:val="20"/>
          <w:color w:val="auto"/>
        </w:rPr>
      </w:pPr>
    </w:p>
    <w:p>
      <w:pPr>
        <w:ind w:left="5660"/>
        <w:spacing w:after="0"/>
        <w:rPr>
          <w:sz w:val="20"/>
          <w:szCs w:val="20"/>
          <w:color w:val="auto"/>
        </w:rPr>
      </w:pPr>
      <w:r>
        <w:rPr>
          <w:rFonts w:ascii="Times New Roman" w:cs="Times New Roman" w:eastAsia="Times New Roman" w:hAnsi="Times New Roman"/>
          <w:sz w:val="21"/>
          <w:szCs w:val="21"/>
          <w:color w:val="auto"/>
        </w:rPr>
        <w:t>Name/Title: Compliance &amp; Company Secretary of ClearBridge</w:t>
      </w:r>
    </w:p>
    <w:p>
      <w:pPr>
        <w:spacing w:after="0" w:line="2" w:lineRule="exact"/>
        <w:rPr>
          <w:sz w:val="20"/>
          <w:szCs w:val="20"/>
          <w:color w:val="auto"/>
        </w:rPr>
      </w:pPr>
    </w:p>
    <w:p>
      <w:pPr>
        <w:ind w:left="6740"/>
        <w:spacing w:after="0"/>
        <w:rPr>
          <w:sz w:val="20"/>
          <w:szCs w:val="20"/>
          <w:color w:val="auto"/>
        </w:rPr>
      </w:pPr>
      <w:r>
        <w:rPr>
          <w:rFonts w:ascii="Times New Roman" w:cs="Times New Roman" w:eastAsia="Times New Roman" w:hAnsi="Times New Roman"/>
          <w:sz w:val="22"/>
          <w:szCs w:val="22"/>
          <w:color w:val="auto"/>
        </w:rPr>
        <w:t>Investments (North America) Pty Ltd</w:t>
      </w:r>
    </w:p>
    <w:p>
      <w:pPr>
        <w:spacing w:after="0" w:line="20" w:lineRule="exact"/>
        <w:rPr>
          <w:sz w:val="20"/>
          <w:szCs w:val="20"/>
          <w:color w:val="auto"/>
        </w:rPr>
      </w:pPr>
    </w:p>
    <w:p>
      <w:pPr>
        <w:ind w:left="5660"/>
        <w:spacing w:after="0"/>
        <w:tabs>
          <w:tab w:leader="none" w:pos="6720" w:val="left"/>
        </w:tabs>
        <w:rPr>
          <w:sz w:val="20"/>
          <w:szCs w:val="20"/>
          <w:color w:val="auto"/>
        </w:rPr>
      </w:pPr>
      <w:r>
        <w:rPr>
          <w:rFonts w:ascii="Times New Roman" w:cs="Times New Roman" w:eastAsia="Times New Roman" w:hAnsi="Times New Roman"/>
          <w:sz w:val="22"/>
          <w:szCs w:val="22"/>
          <w:color w:val="auto"/>
        </w:rPr>
        <w:t>Date:</w:t>
      </w:r>
      <w:r>
        <w:rPr>
          <w:sz w:val="20"/>
          <w:szCs w:val="20"/>
          <w:color w:val="auto"/>
        </w:rPr>
        <w:tab/>
      </w:r>
      <w:r>
        <w:rPr>
          <w:rFonts w:ascii="Times New Roman" w:cs="Times New Roman" w:eastAsia="Times New Roman" w:hAnsi="Times New Roman"/>
          <w:sz w:val="22"/>
          <w:szCs w:val="22"/>
          <w:color w:val="auto"/>
        </w:rPr>
        <w:t>10/30/2026</w:t>
      </w:r>
    </w:p>
    <w:p>
      <w:pPr>
        <w:spacing w:after="0" w:line="108"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22"/>
          <w:szCs w:val="22"/>
          <w:b w:val="1"/>
          <w:bCs w:val="1"/>
          <w:color w:val="auto"/>
        </w:rPr>
        <w:t>Exhibit Information</w:t>
      </w:r>
    </w:p>
    <w:p>
      <w:pPr>
        <w:spacing w:after="0" w:line="291" w:lineRule="exact"/>
        <w:rPr>
          <w:sz w:val="20"/>
          <w:szCs w:val="20"/>
          <w:color w:val="auto"/>
        </w:rPr>
      </w:pPr>
    </w:p>
    <w:p>
      <w:pPr>
        <w:ind w:right="20"/>
        <w:spacing w:after="0" w:line="243" w:lineRule="auto"/>
        <w:rPr>
          <w:sz w:val="20"/>
          <w:szCs w:val="20"/>
          <w:color w:val="auto"/>
        </w:rPr>
      </w:pPr>
      <w:r>
        <w:rPr>
          <w:rFonts w:ascii="Times New Roman" w:cs="Times New Roman" w:eastAsia="Times New Roman" w:hAnsi="Times New Roman"/>
          <w:sz w:val="21"/>
          <w:szCs w:val="21"/>
          <w:color w:val="auto"/>
        </w:rPr>
        <w:t>Exhibit A: Joint Filing Agreement Exhibit B: Item 4 Ownership Exhibit C: Item 8 Identification and Classification of Members of the Group Exhibit A: JOINT FILING AGREEMENT In accordance with Rule 13d-1(k) under the Securities Exchange Act of 1934, as amended, the undersigned hereby agree to the joint filing with each other of the attached statement on Schedule 13G and to all amendments to such statement and that such statement and all amendments to such statement are made on behalf of each of them. IN WITNESS WHEREOF, the undersigned have executed this agreement on the date of the signing of this filing. ClearBridge Investments, LLC By: /s/BRIAN R. MURPHY Brian R. Murphy Chief Compliance Officer of ClearBridge Investments, LLC ClearBridge Investments Limited By: /s/ANNETTE GOLDEN Annette Golden Head of Legal, Risk and Compliance &amp; Company Secretary of ClearBridge Investments Limited ClearBridge Investments (North America) Pty Ltd By: /s/ANNETTE GOLDEN Annette Golden Head of Legal, Risk and Compliance &amp; Company Secretary of ClearBridge Investments (North America) Pty Ltd Exhibit B: Item 4 Ownership The securities reported herein are beneficially owned by one or more open end investment companies or other managed accounts that are investment management clients of ClearBridge Investments, LLC, ClearBridge Investments Limited, and ClearBridge Investments (North America) Pty Ltd. (collectively,"CIL"), indirect wholly owned subsidiaries of Franklin Templeton, Inc. ("FTI"). When an investment management contract (including a sub advisory agreement) delegates to CIL investment discretion or voting power over the securities held in the investment advisory accounts that are subject to that agreement, FTI treats CIL as having sole investment discretion or voting authority, as the case may be, unless the agreement specifies otherwise. Accordingly, CIL reports on Schedule 13G that it has sole investment discretion and voting authority over the securities covered by any such investment management agreement, unless otherwise noted in this Item 4. As a result, for purposes of Rule 13d-3 under the Act, CIL may be deemed to be the beneficial owner of the securities reported in this Schedule 13G. Beneficial ownership by investment management subsidiaries and other affiliates of FTI is being reported in conformity with the guidelines articulated by the SEC staff in Release No. 34-39538 (January 12, 1998) relating to organizations, such as FTI, where related entities exercise voting and investment powers over the securities being reported independently from each other. The voting and investment powers held by CIL are exercised independently from FTI (CIL's parent holding company) and from all other investment management subsidiaries of FTI (FTI, its</w:t>
      </w:r>
    </w:p>
    <w:p>
      <w:pPr>
        <w:sectPr>
          <w:pgSz w:w="11900" w:h="16898" w:orient="portrait"/>
          <w:cols w:equalWidth="0" w:num="1">
            <w:col w:w="11140"/>
          </w:cols>
          <w:pgMar w:left="360" w:top="112" w:right="399" w:bottom="0" w:gutter="0" w:footer="0" w:header="0"/>
        </w:sectPr>
      </w:pPr>
    </w:p>
    <w:bookmarkStart w:id="5" w:name="page6"/>
    <w:bookmarkEnd w:id="5"/>
    <w:p>
      <w:pPr>
        <w:spacing w:after="0" w:line="232" w:lineRule="auto"/>
        <w:rPr>
          <w:sz w:val="20"/>
          <w:szCs w:val="20"/>
          <w:color w:val="auto"/>
        </w:rPr>
      </w:pPr>
      <w:r>
        <w:rPr>
          <w:rFonts w:ascii="Times New Roman" w:cs="Times New Roman" w:eastAsia="Times New Roman" w:hAnsi="Times New Roman"/>
          <w:sz w:val="22"/>
          <w:szCs w:val="22"/>
          <w:color w:val="auto"/>
        </w:rPr>
        <w:t>affiliates and investment management subsidiaries other than CIL are, collectively, "FTI affiliates"). Furthermore, internal policies and procedures of CIL and FTI affiliates establish informational barriers that prevent the flow between CIL and the FTI affiliates of information that relates to the voting and investment powers over the securities owned by their respective investment management clients. Consequently, CIL and the FTI affiliates report the securities over which they hold investment and voting power separately from each other for purposes of Section 13 of the Act. Charles B. Johnson and Rupert H. Johnson, Jr. (the "Principal Shareholders") may each own in excess of 10% of the outstanding common stock of FTI and are the principal stockholders of FTI (see FTI's Proxy Statement-Stock Ownership of Certain Beneficial Owners). However, because CIL exercises voting and investment powers on behalf of its investment management clients independently of FTI affiliates, beneficial ownership of the securities reported by CIL is not attributed to the Principal Shareholders. CIL disclaims any pecuniary interest in any of the securities reported in this Schedule 13G. In addition, the filing of this Schedule 13G on behalf of CIL should not be construed as an admission that it is, and it disclaims that it is, the beneficial owner, as defined in Rule 13d-3, of any of such securities. Furthermore, CIL believes that it is not a "group" with FTI affiliates, the Principal Shareholders, or their respective affiliates within the meaning of Rule 13d-5 under the Act and that none of them is otherwise required to attribute to any other the beneficial ownership of the securities held by such person or by any persons or entities for whom or for which CIL or the FTI affiliates provide investment management services. EXHIBIT C ClearBridge Investments, LLC Item 3 Classification: 3(e) ClearBridge Investments Limited Item 3 Classification: 3(j) ClearBridge Investments (North America) Pty Ltd Item 3 Classification: 3(j)</w:t>
      </w:r>
    </w:p>
    <w:sectPr>
      <w:pgSz w:w="11900" w:h="16838" w:orient="portrait"/>
      <w:cols w:equalWidth="0" w:num="1">
        <w:col w:w="11140"/>
      </w:cols>
      <w:pgMar w:left="360" w:top="111" w:right="39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w="http://schemas.openxmlformats.org/wordprocessingml/2006/main">
  <w:abstractNum w:abstractNumId="0">
    <w:nsid w:val="238E1F29"/>
    <w:multiLevelType w:val="hybridMultilevel"/>
    <w:lvl w:ilvl="0">
      <w:lvlJc w:val="left"/>
      <w:lvlText w:val="2"/>
      <w:numFmt w:val="bullet"/>
      <w:start w:val="1"/>
    </w:lvl>
  </w:abstractNum>
  <w:abstractNum w:abstractNumId="1">
    <w:nsid w:val="46E87CCD"/>
    <w:multiLevelType w:val="hybridMultilevel"/>
    <w:lvl w:ilvl="0">
      <w:lvlJc w:val="left"/>
      <w:lvlText w:val="3"/>
      <w:numFmt w:val="bullet"/>
      <w:start w:val="1"/>
    </w:lvl>
  </w:abstractNum>
  <w:abstractNum w:abstractNumId="2">
    <w:nsid w:val="3D1B58BA"/>
    <w:multiLevelType w:val="hybridMultilevel"/>
    <w:lvl w:ilvl="0">
      <w:lvlJc w:val="left"/>
      <w:lvlText w:val="%1"/>
      <w:numFmt w:val="decimal"/>
      <w:start w:val="12"/>
    </w:lvl>
  </w:abstractNum>
  <w:abstractNum w:abstractNumId="3">
    <w:nsid w:val="507ED7AB"/>
    <w:multiLevelType w:val="hybridMultilevel"/>
    <w:lvl w:ilvl="0">
      <w:lvlJc w:val="left"/>
      <w:lvlText w:val="(%1)"/>
      <w:numFmt w:val="lowerLetter"/>
      <w:start w:val="1"/>
    </w:lvl>
  </w:abstractNum>
  <w:abstractNum w:abstractNumId="4">
    <w:nsid w:val="2EB141F2"/>
    <w:multiLevelType w:val="hybridMultilevel"/>
    <w:lvl w:ilvl="0">
      <w:lvlJc w:val="left"/>
      <w:lvlText w:val="(%1)"/>
      <w:numFmt w:val="lowerRoman"/>
      <w:start w:val="1"/>
    </w:lvl>
  </w:abstractNum>
  <w:abstractNum w:abstractNumId="5">
    <w:nsid w:val="41B71EFB"/>
    <w:multiLevelType w:val="hybridMultilevel"/>
    <w:lvl w:ilvl="0">
      <w:lvlJc w:val="left"/>
      <w:lvlText w:val="(%1)"/>
      <w:numFmt w:val="lowerLetter"/>
      <w:start w:val="3"/>
    </w:lvl>
  </w:abstractNum>
  <w:abstractNum w:abstractNumId="6">
    <w:nsid w:val="79E2A9E3"/>
    <w:multiLevelType w:val="hybridMultilevel"/>
    <w:lvl w:ilvl="0">
      <w:lvlJc w:val="left"/>
      <w:lvlText w:val="(%1)"/>
      <w:numFmt w:val="lowerRoman"/>
      <w:start w:val="2"/>
    </w:lvl>
  </w:abstractNum>
  <w:abstractNum w:abstractNumId="7">
    <w:nsid w:val="7545E146"/>
    <w:multiLevelType w:val="hybridMultilevel"/>
    <w:lvl w:ilvl="0">
      <w:lvlJc w:val="left"/>
      <w:lvlText w:val="(%1)"/>
      <w:numFmt w:val="lowerRoman"/>
      <w:start w:val="4"/>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jpeg"/><Relationship Id="rId15" Type="http://schemas.openxmlformats.org/officeDocument/2006/relationships/image" Target="media/image8.jpe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jpeg"/><Relationship Id="rId19" Type="http://schemas.openxmlformats.org/officeDocument/2006/relationships/image" Target="media/image12.jpeg"/><Relationship Id="rId20" Type="http://schemas.openxmlformats.org/officeDocument/2006/relationships/image" Target="media/image13.jpeg"/><Relationship Id="rId21" Type="http://schemas.openxmlformats.org/officeDocument/2006/relationships/image" Target="media/image14.jpeg"/><Relationship Id="rId22" Type="http://schemas.openxmlformats.org/officeDocument/2006/relationships/image" Target="media/image15.jpeg"/><Relationship Id="rId23" Type="http://schemas.openxmlformats.org/officeDocument/2006/relationships/image" Target="media/image16.jpeg"/><Relationship Id="rId24" Type="http://schemas.openxmlformats.org/officeDocument/2006/relationships/image" Target="media/image17.jpeg"/><Relationship Id="rId25" Type="http://schemas.openxmlformats.org/officeDocument/2006/relationships/image" Target="media/image18.jpeg"/><Relationship Id="rId26" Type="http://schemas.openxmlformats.org/officeDocument/2006/relationships/image" Target="media/image19.jpeg"/><Relationship Id="rId27" Type="http://schemas.openxmlformats.org/officeDocument/2006/relationships/image" Target="media/image20.jpeg"/><Relationship Id="rId28" Type="http://schemas.openxmlformats.org/officeDocument/2006/relationships/image" Target="media/image21.jpeg"/><Relationship Id="rId29" Type="http://schemas.openxmlformats.org/officeDocument/2006/relationships/image" Target="media/image22.jpeg"/><Relationship Id="rId30" Type="http://schemas.openxmlformats.org/officeDocument/2006/relationships/image" Target="media/image23.jpeg"/><Relationship Id="rId31" Type="http://schemas.openxmlformats.org/officeDocument/2006/relationships/image" Target="media/image24.jpeg"/><Relationship Id="rId32" Type="http://schemas.openxmlformats.org/officeDocument/2006/relationships/image" Target="media/image25.jpeg"/><Relationship Id="rId33" Type="http://schemas.openxmlformats.org/officeDocument/2006/relationships/image" Target="media/image26.jpeg"/><Relationship Id="rId34" Type="http://schemas.openxmlformats.org/officeDocument/2006/relationships/image" Target="media/image27.jpeg"/><Relationship Id="rId35" Type="http://schemas.openxmlformats.org/officeDocument/2006/relationships/image" Target="media/image28.jpeg"/><Relationship Id="rId36" Type="http://schemas.openxmlformats.org/officeDocument/2006/relationships/image" Target="media/image29.jpeg"/><Relationship Id="rId37" Type="http://schemas.openxmlformats.org/officeDocument/2006/relationships/image" Target="media/image30.jpeg"/><Relationship Id="rId38" Type="http://schemas.openxmlformats.org/officeDocument/2006/relationships/image" Target="media/image31.jpe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2026-11-02T12:16:30Z</dcterms:created>
  <dcterms:modified xsi:type="dcterms:W3CDTF">2026-11-02T12:16:30Z</dcterms:modified>
</cp:coreProperties>
</file>