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9668-1_4seq1.xml.htm"/>
      <w:bookmarkStart w:id="1" w:name="kstm261966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77,075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BlackRock Portfolio Management LLC and the GIP Entities disclaim beneficial ownership of the securities reported herein, except to the extent of their respective pecuniary interest therein, if any, and, pursuant to Rule 16a-1(a)(4) under the Securities Exchange Act of 1934, as amended ("the Exchange Act"), BlackRock Portfolio Management LLC and the GIP Entities state that the inclusion of these securities in this report shall not be deemed an admission of beneficial ownership of the securities reported herein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945</Words>
  <Characters>5231</Characters>
  <CharactersWithSpaces>6112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