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24,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November 24, 2025, RS2-Spindle Purchaser LLC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subsidiary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Membership Interest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RS2-Spindle CE Seller LLC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 affiliate of Clearway Energy Group LLC. Pursuant to the terms of the Purchase Agreement, Purchaser will acquire from Seller certain limited liability company membership interests in RS2-Spindle TargetCo LLC (“</w:t>
      </w:r>
      <w:r>
        <w:rPr>
          <w:rFonts w:ascii="Times New Roman" w:cs="Times New Roman" w:eastAsia="Times New Roman" w:hAnsi="Times New Roman"/>
          <w:sz w:val="18"/>
          <w:szCs w:val="18"/>
          <w:u w:val="single" w:color="auto"/>
          <w:color w:val="auto"/>
        </w:rPr>
        <w:t>Target Company</w:t>
      </w:r>
      <w:r>
        <w:rPr>
          <w:rFonts w:ascii="Times New Roman" w:cs="Times New Roman" w:eastAsia="Times New Roman" w:hAnsi="Times New Roman"/>
          <w:sz w:val="18"/>
          <w:szCs w:val="18"/>
          <w:color w:val="auto"/>
        </w:rPr>
        <w:t>”), which, subject to certain terms and conditions referenced in the Purchase Agreement, will become the indirect owner of all of the limited liability company interests in Spindle Battery LLC (“</w:t>
      </w:r>
      <w:r>
        <w:rPr>
          <w:rFonts w:ascii="Times New Roman" w:cs="Times New Roman" w:eastAsia="Times New Roman" w:hAnsi="Times New Roman"/>
          <w:sz w:val="18"/>
          <w:szCs w:val="18"/>
          <w:u w:val="single" w:color="auto"/>
          <w:color w:val="auto"/>
        </w:rPr>
        <w:t>Spindle Battery</w:t>
      </w:r>
      <w:r>
        <w:rPr>
          <w:rFonts w:ascii="Times New Roman" w:cs="Times New Roman" w:eastAsia="Times New Roman" w:hAnsi="Times New Roman"/>
          <w:sz w:val="18"/>
          <w:szCs w:val="18"/>
          <w:color w:val="auto"/>
        </w:rPr>
        <w:t>”) and Golden Fields Solar VI, LLC (“</w:t>
      </w:r>
      <w:r>
        <w:rPr>
          <w:rFonts w:ascii="Times New Roman" w:cs="Times New Roman" w:eastAsia="Times New Roman" w:hAnsi="Times New Roman"/>
          <w:sz w:val="18"/>
          <w:szCs w:val="18"/>
          <w:u w:val="single" w:color="auto"/>
          <w:color w:val="auto"/>
        </w:rPr>
        <w:t>Golden Fields Solar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for a base purchase price of approximately $45.7 million with respect to Spindle Battery and approximately $47.2 million with respect to Golden Fields Solar VI, in each case, in cash and subject to customary working capital adjustments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Spindle Battery is developing and constructing an approximately 199 megawatt battery energy storage system facility in Weld County, Colorado. Golden Fields Solar VI is developing an approximately 92 megawatt battery energy storage system facility in Kern County, California. At the closing of the Transaction, Purchaser will acquire 999 units of the Target Company, which will represent 100% of the class A units of the Target Company, and Seller will distribute the remaining one unit to Clearway Renew LLC, with such unit being converted into 100% of the class C units of the Target Company.</w:t>
      </w:r>
    </w:p>
    <w:p>
      <w:pPr>
        <w:spacing w:after="0" w:line="19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covenants made by each of the parties. Each of Purchaser and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and certain third-party actions. The closing of the Transaction is expected to occur during the second half of 2026.</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Transaction and the Purchase Agreement does not purport to be complete and is qualified in its entirety by reference to the full text of the Purchase Agreement, a copy of which is filed as Exhibit 10.1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Membership Interest Purchase Agreement, dated as of November 24, 2025, by and between RS2-Spindle CE Seller LLC and RS2-Spindle</w:t>
            </w:r>
          </w:p>
        </w:tc>
      </w:tr>
      <w:tr>
        <w:trPr>
          <w:trHeight w:val="196"/>
        </w:trPr>
        <w:tc>
          <w:tcPr>
            <w:tcW w:w="5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Purchaser LLC.</w:t>
            </w:r>
          </w:p>
        </w:tc>
        <w:tc>
          <w:tcPr>
            <w:tcW w:w="1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25" w:lineRule="exact"/>
        <w:rPr>
          <w:sz w:val="20"/>
          <w:szCs w:val="20"/>
          <w:color w:val="auto"/>
        </w:rPr>
      </w:pPr>
    </w:p>
    <w:p>
      <w:pPr>
        <w:ind w:left="240" w:right="420" w:hanging="232"/>
        <w:spacing w:after="0" w:line="261"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jc w:val="both"/>
        <w:ind w:left="240" w:right="220" w:hanging="232"/>
        <w:spacing w:after="0" w:line="255"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ROSIE SOUTH 2 &amp; SPINDLE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160020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RS2-Spindle TargetCo LLC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RS2-Spindle CE Seller LLC, as Seller</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RS2-Spindle Purchaser LLC, as Purchaser</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dated as of 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156845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619760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3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1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04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RULES OF 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8"/>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Payment of Purchase Price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Closing; Additional Payments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2.04.</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Adjusted Purchase Price Amount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2.05.</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2.06.</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Reporting of Transaction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38"/>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3.02.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with Respect to Purchaser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8"/>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7"/>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Purchaser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4.03.</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Closing Date Conditions Precedent of the Seller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38"/>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Other Permits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5.03.</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Certain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5.04.</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5.06.</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5.07.</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Purchaser’s Substitute Support Obligations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5.08.</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37"/>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5.09.</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5.10.</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5.11.</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Seller Parent 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5.12.</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Equity Agreement; Tax Credit Monetization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37"/>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5.13.</w:t>
            </w:r>
          </w:p>
        </w:tc>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Duties of Initial Manager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7"/>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6.09.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6.10.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7.02.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8.09.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38"/>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8.17.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Assignment of Membership Interests</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Form of Purchaser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Form of Seller Parent Guaranty</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Officer’s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Secretary’s Certificate of Seller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Form of Officer’s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Form of Secretary’s Certificate of Purchaser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8"/>
          <w:szCs w:val="18"/>
          <w:color w:val="auto"/>
        </w:rPr>
        <w:t>Form of A&amp;R LLC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 Certain Indemnification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 Disclosure Schedules:</w:t>
      </w:r>
    </w:p>
    <w:p>
      <w:pPr>
        <w:spacing w:after="0" w:line="22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1.01</w:t>
      </w:r>
      <w:r>
        <w:rPr>
          <w:sz w:val="20"/>
          <w:szCs w:val="20"/>
          <w:color w:val="auto"/>
        </w:rPr>
        <w:tab/>
      </w:r>
      <w:r>
        <w:rPr>
          <w:rFonts w:ascii="Times New Roman" w:cs="Times New Roman" w:eastAsia="Times New Roman" w:hAnsi="Times New Roman"/>
          <w:sz w:val="17"/>
          <w:szCs w:val="17"/>
          <w:color w:val="auto"/>
        </w:rPr>
        <w:t>Permitted Liens</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3.01(c)</w:t>
      </w:r>
      <w:r>
        <w:rPr>
          <w:sz w:val="20"/>
          <w:szCs w:val="20"/>
          <w:color w:val="auto"/>
        </w:rPr>
        <w:tab/>
      </w:r>
      <w:r>
        <w:rPr>
          <w:rFonts w:ascii="Times New Roman" w:cs="Times New Roman" w:eastAsia="Times New Roman" w:hAnsi="Times New Roman"/>
          <w:sz w:val="17"/>
          <w:szCs w:val="17"/>
          <w:color w:val="auto"/>
        </w:rPr>
        <w:t>Seller Consents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3.01(e)</w:t>
      </w:r>
      <w:r>
        <w:rPr>
          <w:sz w:val="20"/>
          <w:szCs w:val="20"/>
          <w:color w:val="auto"/>
        </w:rPr>
        <w:tab/>
      </w:r>
      <w:r>
        <w:rPr>
          <w:rFonts w:ascii="Times New Roman" w:cs="Times New Roman" w:eastAsia="Times New Roman" w:hAnsi="Times New Roman"/>
          <w:sz w:val="17"/>
          <w:szCs w:val="17"/>
          <w:color w:val="auto"/>
        </w:rPr>
        <w:t>Seller Approvals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3.01(f)</w:t>
      </w:r>
      <w:r>
        <w:rPr>
          <w:sz w:val="20"/>
          <w:szCs w:val="20"/>
          <w:color w:val="auto"/>
        </w:rPr>
        <w:tab/>
      </w:r>
      <w:r>
        <w:rPr>
          <w:rFonts w:ascii="Times New Roman" w:cs="Times New Roman" w:eastAsia="Times New Roman" w:hAnsi="Times New Roman"/>
          <w:sz w:val="17"/>
          <w:szCs w:val="17"/>
          <w:color w:val="auto"/>
        </w:rPr>
        <w:t>Legal Proceedings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3.01(g)</w:t>
      </w:r>
      <w:r>
        <w:rPr>
          <w:sz w:val="20"/>
          <w:szCs w:val="20"/>
          <w:color w:val="auto"/>
        </w:rPr>
        <w:tab/>
      </w:r>
      <w:r>
        <w:rPr>
          <w:rFonts w:ascii="Times New Roman" w:cs="Times New Roman" w:eastAsia="Times New Roman" w:hAnsi="Times New Roman"/>
          <w:sz w:val="17"/>
          <w:szCs w:val="17"/>
          <w:color w:val="auto"/>
        </w:rPr>
        <w:t>Brokers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w:t>
      </w:r>
      <w:r>
        <w:rPr>
          <w:sz w:val="20"/>
          <w:szCs w:val="20"/>
          <w:color w:val="auto"/>
        </w:rPr>
        <w:tab/>
      </w:r>
      <w:r>
        <w:rPr>
          <w:rFonts w:ascii="Times New Roman" w:cs="Times New Roman" w:eastAsia="Times New Roman" w:hAnsi="Times New Roman"/>
          <w:sz w:val="17"/>
          <w:szCs w:val="17"/>
          <w:color w:val="auto"/>
        </w:rPr>
        <w:t>Permitted Business Jurisdictions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3.01(i)(ii)</w:t>
      </w:r>
      <w:r>
        <w:rPr>
          <w:sz w:val="20"/>
          <w:szCs w:val="20"/>
          <w:color w:val="auto"/>
        </w:rPr>
        <w:tab/>
      </w:r>
      <w:r>
        <w:rPr>
          <w:rFonts w:ascii="Times New Roman" w:cs="Times New Roman" w:eastAsia="Times New Roman" w:hAnsi="Times New Roman"/>
          <w:sz w:val="17"/>
          <w:szCs w:val="17"/>
          <w:color w:val="auto"/>
        </w:rPr>
        <w:t>Permitted Equity Encumbrances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3.01(i)(iii)</w:t>
      </w:r>
      <w:r>
        <w:rPr>
          <w:sz w:val="20"/>
          <w:szCs w:val="20"/>
          <w:color w:val="auto"/>
        </w:rPr>
        <w:tab/>
      </w:r>
      <w:r>
        <w:rPr>
          <w:rFonts w:ascii="Times New Roman" w:cs="Times New Roman" w:eastAsia="Times New Roman" w:hAnsi="Times New Roman"/>
          <w:sz w:val="17"/>
          <w:szCs w:val="17"/>
          <w:color w:val="auto"/>
        </w:rPr>
        <w:t>Directors and Officers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3.01(i)(v)</w:t>
      </w:r>
      <w:r>
        <w:rPr>
          <w:sz w:val="20"/>
          <w:szCs w:val="20"/>
          <w:color w:val="auto"/>
        </w:rPr>
        <w:tab/>
      </w:r>
      <w:r>
        <w:rPr>
          <w:rFonts w:ascii="Times New Roman" w:cs="Times New Roman" w:eastAsia="Times New Roman" w:hAnsi="Times New Roman"/>
          <w:sz w:val="17"/>
          <w:szCs w:val="17"/>
          <w:color w:val="auto"/>
        </w:rPr>
        <w:t>Permitted Options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3.01(i)(vi)</w:t>
      </w:r>
      <w:r>
        <w:rPr>
          <w:sz w:val="20"/>
          <w:szCs w:val="20"/>
          <w:color w:val="auto"/>
        </w:rPr>
        <w:tab/>
      </w:r>
      <w:r>
        <w:rPr>
          <w:rFonts w:ascii="Times New Roman" w:cs="Times New Roman" w:eastAsia="Times New Roman" w:hAnsi="Times New Roman"/>
          <w:sz w:val="17"/>
          <w:szCs w:val="17"/>
          <w:color w:val="auto"/>
        </w:rPr>
        <w:t>Permitted Additional Investments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3.01(i)(vii)</w:t>
      </w:r>
      <w:r>
        <w:rPr>
          <w:sz w:val="20"/>
          <w:szCs w:val="20"/>
          <w:color w:val="auto"/>
        </w:rPr>
        <w:tab/>
      </w:r>
      <w:r>
        <w:rPr>
          <w:rFonts w:ascii="Times New Roman" w:cs="Times New Roman" w:eastAsia="Times New Roman" w:hAnsi="Times New Roman"/>
          <w:sz w:val="17"/>
          <w:szCs w:val="17"/>
          <w:color w:val="auto"/>
        </w:rPr>
        <w:t>Permitted Additional Business Operations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3.01(j)</w:t>
      </w:r>
      <w:r>
        <w:rPr>
          <w:sz w:val="20"/>
          <w:szCs w:val="20"/>
          <w:color w:val="auto"/>
        </w:rPr>
        <w:tab/>
      </w:r>
      <w:r>
        <w:rPr>
          <w:rFonts w:ascii="Times New Roman" w:cs="Times New Roman" w:eastAsia="Times New Roman" w:hAnsi="Times New Roman"/>
          <w:sz w:val="17"/>
          <w:szCs w:val="17"/>
          <w:color w:val="auto"/>
        </w:rPr>
        <w:t>Liabilities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3.01(k)</w:t>
      </w:r>
      <w:r>
        <w:rPr>
          <w:sz w:val="20"/>
          <w:szCs w:val="20"/>
          <w:color w:val="auto"/>
        </w:rPr>
        <w:tab/>
      </w:r>
      <w:r>
        <w:rPr>
          <w:rFonts w:ascii="Times New Roman" w:cs="Times New Roman" w:eastAsia="Times New Roman" w:hAnsi="Times New Roman"/>
          <w:sz w:val="17"/>
          <w:szCs w:val="17"/>
          <w:color w:val="auto"/>
        </w:rPr>
        <w:t>Taxes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3.01(m)(i)</w:t>
      </w:r>
      <w:r>
        <w:rPr>
          <w:sz w:val="20"/>
          <w:szCs w:val="20"/>
          <w:color w:val="auto"/>
        </w:rPr>
        <w:tab/>
      </w:r>
      <w:r>
        <w:rPr>
          <w:rFonts w:ascii="Times New Roman" w:cs="Times New Roman" w:eastAsia="Times New Roman" w:hAnsi="Times New Roman"/>
          <w:sz w:val="17"/>
          <w:szCs w:val="17"/>
          <w:color w:val="auto"/>
        </w:rPr>
        <w:t>Company Contracts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3.01(m)(iii)</w:t>
      </w:r>
      <w:r>
        <w:rPr>
          <w:sz w:val="20"/>
          <w:szCs w:val="20"/>
          <w:color w:val="auto"/>
        </w:rPr>
        <w:tab/>
      </w:r>
      <w:r>
        <w:rPr>
          <w:rFonts w:ascii="Times New Roman" w:cs="Times New Roman" w:eastAsia="Times New Roman" w:hAnsi="Times New Roman"/>
          <w:sz w:val="17"/>
          <w:szCs w:val="17"/>
          <w:color w:val="auto"/>
        </w:rPr>
        <w:t>Company Contracts Defaults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3.01(n)(i)</w:t>
      </w:r>
      <w:r>
        <w:rPr>
          <w:sz w:val="20"/>
          <w:szCs w:val="20"/>
          <w:color w:val="auto"/>
        </w:rPr>
        <w:tab/>
      </w:r>
      <w:r>
        <w:rPr>
          <w:rFonts w:ascii="Times New Roman" w:cs="Times New Roman" w:eastAsia="Times New Roman" w:hAnsi="Times New Roman"/>
          <w:sz w:val="17"/>
          <w:szCs w:val="17"/>
          <w:color w:val="auto"/>
        </w:rPr>
        <w:t>Land</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3.01(n)(ii)</w:t>
      </w:r>
      <w:r>
        <w:rPr>
          <w:sz w:val="20"/>
          <w:szCs w:val="20"/>
          <w:color w:val="auto"/>
        </w:rPr>
        <w:tab/>
      </w:r>
      <w:r>
        <w:rPr>
          <w:rFonts w:ascii="Times New Roman" w:cs="Times New Roman" w:eastAsia="Times New Roman" w:hAnsi="Times New Roman"/>
          <w:sz w:val="17"/>
          <w:szCs w:val="17"/>
          <w:color w:val="auto"/>
        </w:rPr>
        <w:t>Permitted Real Property Agreements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3.01(n)(iii)</w:t>
      </w:r>
      <w:r>
        <w:rPr>
          <w:sz w:val="20"/>
          <w:szCs w:val="20"/>
          <w:color w:val="auto"/>
        </w:rPr>
        <w:tab/>
      </w:r>
      <w:r>
        <w:rPr>
          <w:rFonts w:ascii="Times New Roman" w:cs="Times New Roman" w:eastAsia="Times New Roman" w:hAnsi="Times New Roman"/>
          <w:sz w:val="17"/>
          <w:szCs w:val="17"/>
          <w:color w:val="auto"/>
        </w:rPr>
        <w:t>Real Property Rights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3.01(o)</w:t>
      </w:r>
      <w:r>
        <w:rPr>
          <w:sz w:val="20"/>
          <w:szCs w:val="20"/>
          <w:color w:val="auto"/>
        </w:rPr>
        <w:tab/>
      </w:r>
      <w:r>
        <w:rPr>
          <w:rFonts w:ascii="Times New Roman" w:cs="Times New Roman" w:eastAsia="Times New Roman" w:hAnsi="Times New Roman"/>
          <w:sz w:val="17"/>
          <w:szCs w:val="17"/>
          <w:color w:val="auto"/>
        </w:rPr>
        <w:t>Insured Property Rights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3.01(p)(i)</w:t>
      </w:r>
      <w:r>
        <w:rPr>
          <w:sz w:val="20"/>
          <w:szCs w:val="20"/>
          <w:color w:val="auto"/>
        </w:rPr>
        <w:tab/>
      </w:r>
      <w:r>
        <w:rPr>
          <w:rFonts w:ascii="Times New Roman" w:cs="Times New Roman" w:eastAsia="Times New Roman" w:hAnsi="Times New Roman"/>
          <w:sz w:val="17"/>
          <w:szCs w:val="17"/>
          <w:color w:val="auto"/>
        </w:rPr>
        <w:t>Environmental Law Non-Compliance</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3.01(p)(iii)</w:t>
      </w:r>
      <w:r>
        <w:rPr>
          <w:sz w:val="20"/>
          <w:szCs w:val="20"/>
          <w:color w:val="auto"/>
        </w:rPr>
        <w:tab/>
      </w:r>
      <w:r>
        <w:rPr>
          <w:rFonts w:ascii="Times New Roman" w:cs="Times New Roman" w:eastAsia="Times New Roman" w:hAnsi="Times New Roman"/>
          <w:sz w:val="17"/>
          <w:szCs w:val="17"/>
          <w:color w:val="auto"/>
        </w:rPr>
        <w:t>Environmental Permits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3.01(p)(iv)</w:t>
      </w:r>
      <w:r>
        <w:rPr>
          <w:sz w:val="20"/>
          <w:szCs w:val="20"/>
          <w:color w:val="auto"/>
        </w:rPr>
        <w:tab/>
      </w:r>
      <w:r>
        <w:rPr>
          <w:rFonts w:ascii="Times New Roman" w:cs="Times New Roman" w:eastAsia="Times New Roman" w:hAnsi="Times New Roman"/>
          <w:sz w:val="17"/>
          <w:szCs w:val="17"/>
          <w:color w:val="auto"/>
        </w:rPr>
        <w:t>Release of Hazardous Substances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3.01(q)(i)</w:t>
      </w:r>
      <w:r>
        <w:rPr>
          <w:sz w:val="20"/>
          <w:szCs w:val="20"/>
          <w:color w:val="auto"/>
        </w:rPr>
        <w:tab/>
      </w:r>
      <w:r>
        <w:rPr>
          <w:rFonts w:ascii="Times New Roman" w:cs="Times New Roman" w:eastAsia="Times New Roman" w:hAnsi="Times New Roman"/>
          <w:sz w:val="17"/>
          <w:szCs w:val="17"/>
          <w:color w:val="auto"/>
        </w:rPr>
        <w:t>Permits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3.01(q)(ii)</w:t>
      </w:r>
      <w:r>
        <w:rPr>
          <w:sz w:val="20"/>
          <w:szCs w:val="20"/>
          <w:color w:val="auto"/>
        </w:rPr>
        <w:tab/>
      </w:r>
      <w:r>
        <w:rPr>
          <w:rFonts w:ascii="Times New Roman" w:cs="Times New Roman" w:eastAsia="Times New Roman" w:hAnsi="Times New Roman"/>
          <w:sz w:val="17"/>
          <w:szCs w:val="17"/>
          <w:color w:val="auto"/>
        </w:rPr>
        <w:t>Regulatory Noncompliance</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3.01(r)</w:t>
      </w:r>
      <w:r>
        <w:rPr>
          <w:sz w:val="20"/>
          <w:szCs w:val="20"/>
          <w:color w:val="auto"/>
        </w:rPr>
        <w:tab/>
      </w:r>
      <w:r>
        <w:rPr>
          <w:rFonts w:ascii="Times New Roman" w:cs="Times New Roman" w:eastAsia="Times New Roman" w:hAnsi="Times New Roman"/>
          <w:sz w:val="17"/>
          <w:szCs w:val="17"/>
          <w:color w:val="auto"/>
        </w:rPr>
        <w:t>Affiliate Transactions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3.01(s)(i)</w:t>
      </w:r>
      <w:r>
        <w:rPr>
          <w:sz w:val="20"/>
          <w:szCs w:val="20"/>
          <w:color w:val="auto"/>
        </w:rPr>
        <w:tab/>
      </w:r>
      <w:r>
        <w:rPr>
          <w:rFonts w:ascii="Times New Roman" w:cs="Times New Roman" w:eastAsia="Times New Roman" w:hAnsi="Times New Roman"/>
          <w:sz w:val="17"/>
          <w:szCs w:val="17"/>
          <w:color w:val="auto"/>
        </w:rPr>
        <w:t>Intellectual Property</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3.01(t)</w:t>
      </w:r>
      <w:r>
        <w:rPr>
          <w:sz w:val="20"/>
          <w:szCs w:val="20"/>
          <w:color w:val="auto"/>
        </w:rPr>
        <w:tab/>
      </w: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3.01(v)</w:t>
      </w:r>
      <w:r>
        <w:rPr>
          <w:sz w:val="20"/>
          <w:szCs w:val="20"/>
          <w:color w:val="auto"/>
        </w:rPr>
        <w:tab/>
      </w:r>
      <w:r>
        <w:rPr>
          <w:rFonts w:ascii="Times New Roman" w:cs="Times New Roman" w:eastAsia="Times New Roman" w:hAnsi="Times New Roman"/>
          <w:sz w:val="17"/>
          <w:szCs w:val="17"/>
          <w:color w:val="auto"/>
        </w:rPr>
        <w:t>Absence of Changes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3.01(w)</w:t>
      </w:r>
      <w:r>
        <w:rPr>
          <w:sz w:val="20"/>
          <w:szCs w:val="20"/>
          <w:color w:val="auto"/>
        </w:rPr>
        <w:tab/>
      </w:r>
      <w:r>
        <w:rPr>
          <w:rFonts w:ascii="Times New Roman" w:cs="Times New Roman" w:eastAsia="Times New Roman" w:hAnsi="Times New Roman"/>
          <w:sz w:val="17"/>
          <w:szCs w:val="17"/>
          <w:color w:val="auto"/>
        </w:rPr>
        <w:t>Bank Accounts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3.01(y)</w:t>
      </w:r>
      <w:r>
        <w:rPr>
          <w:sz w:val="20"/>
          <w:szCs w:val="20"/>
          <w:color w:val="auto"/>
        </w:rPr>
        <w:tab/>
      </w: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Schedule 5.04(b)</w:t>
      </w:r>
      <w:r>
        <w:rPr>
          <w:sz w:val="20"/>
          <w:szCs w:val="20"/>
          <w:color w:val="auto"/>
        </w:rPr>
        <w:tab/>
      </w:r>
      <w:r>
        <w:rPr>
          <w:rFonts w:ascii="Times New Roman" w:cs="Times New Roman" w:eastAsia="Times New Roman" w:hAnsi="Times New Roman"/>
          <w:sz w:val="17"/>
          <w:szCs w:val="17"/>
          <w:color w:val="auto"/>
        </w:rPr>
        <w:t>Conduct of Business</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 Disclosure Schedules: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3.02(i)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Approvals</w:t>
      </w:r>
    </w:p>
    <w:p>
      <w:pPr>
        <w:spacing w:after="0" w:line="211" w:lineRule="exact"/>
        <w:rPr>
          <w:sz w:val="20"/>
          <w:szCs w:val="20"/>
          <w:color w:val="auto"/>
        </w:rPr>
      </w:pPr>
    </w:p>
    <w:p>
      <w:pPr>
        <w:sectPr>
          <w:pgSz w:w="11900" w:h="16838" w:orient="portrait"/>
          <w:cols w:equalWidth="0" w:num="2">
            <w:col w:w="1240" w:space="460"/>
            <w:col w:w="8439"/>
          </w:cols>
          <w:pgMar w:left="320" w:top="900" w:right="1440" w:bottom="1440" w:gutter="0" w:footer="0" w:header="0"/>
          <w:type w:val="continuous"/>
        </w:sect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November 24, 2025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RS2-Spindle CE Seller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RS2-Spindle Purchaser LLC,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RS2-Spindle Project Holdco LLC, a Delaware limited liability company (“</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directly owns one hundred percent (100%) of the limited liability company membership interests in each of (a) Spindle Pledgor LLC, a Delaware limited liability company (the “</w:t>
      </w:r>
      <w:r>
        <w:rPr>
          <w:rFonts w:ascii="Times New Roman" w:cs="Times New Roman" w:eastAsia="Times New Roman" w:hAnsi="Times New Roman"/>
          <w:sz w:val="18"/>
          <w:szCs w:val="18"/>
          <w:i w:val="1"/>
          <w:iCs w:val="1"/>
          <w:color w:val="auto"/>
        </w:rPr>
        <w:t>Spindle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and (b) RS2 Pledgor LLC, a Delaware limited liability company (the “</w:t>
      </w:r>
      <w:r>
        <w:rPr>
          <w:rFonts w:ascii="Times New Roman" w:cs="Times New Roman" w:eastAsia="Times New Roman" w:hAnsi="Times New Roman"/>
          <w:sz w:val="18"/>
          <w:szCs w:val="18"/>
          <w:i w:val="1"/>
          <w:iCs w:val="1"/>
          <w:color w:val="auto"/>
        </w:rPr>
        <w:t>RS2 Pledgor Company</w:t>
      </w:r>
      <w:r>
        <w:rPr>
          <w:rFonts w:ascii="Times New Roman" w:cs="Times New Roman" w:eastAsia="Times New Roman" w:hAnsi="Times New Roman"/>
          <w:sz w:val="18"/>
          <w:szCs w:val="18"/>
          <w:color w:val="auto"/>
        </w:rPr>
        <w:t>” and, together with Spindle Pledgor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each a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Spindle Pledgor Company owns one hundred percent (100%) of the limited liability company membership interests in Spindle Battery LLC, a Delaware limited liability company (the “</w:t>
      </w:r>
      <w:r>
        <w:rPr>
          <w:rFonts w:ascii="Times New Roman" w:cs="Times New Roman" w:eastAsia="Times New Roman" w:hAnsi="Times New Roman"/>
          <w:sz w:val="18"/>
          <w:szCs w:val="18"/>
          <w:i w:val="1"/>
          <w:iCs w:val="1"/>
          <w:color w:val="auto"/>
        </w:rPr>
        <w:t>Spindle Project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RS2 Pledgor Company owns one hundred percent (100%) of the limited liability company membership interests in Golden Fields Solar VI, LLC, a Delaware limited liability company (the “</w:t>
      </w:r>
      <w:r>
        <w:rPr>
          <w:rFonts w:ascii="Times New Roman" w:cs="Times New Roman" w:eastAsia="Times New Roman" w:hAnsi="Times New Roman"/>
          <w:sz w:val="18"/>
          <w:szCs w:val="18"/>
          <w:i w:val="1"/>
          <w:iCs w:val="1"/>
          <w:color w:val="auto"/>
        </w:rPr>
        <w:t>RS2 Project Company</w:t>
      </w:r>
      <w:r>
        <w:rPr>
          <w:rFonts w:ascii="Times New Roman" w:cs="Times New Roman" w:eastAsia="Times New Roman" w:hAnsi="Times New Roman"/>
          <w:sz w:val="18"/>
          <w:szCs w:val="18"/>
          <w:color w:val="auto"/>
        </w:rPr>
        <w:t>” and, together with the Spindle Project Company, each a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 the Spindle Project Company is developing a battery energy storage system facility, with an approximate installed capacity of 199 MW, in Weld County, Colorado (the “</w:t>
      </w:r>
      <w:r>
        <w:rPr>
          <w:rFonts w:ascii="Times New Roman" w:cs="Times New Roman" w:eastAsia="Times New Roman" w:hAnsi="Times New Roman"/>
          <w:sz w:val="18"/>
          <w:szCs w:val="18"/>
          <w:i w:val="1"/>
          <w:iCs w:val="1"/>
          <w:color w:val="auto"/>
        </w:rPr>
        <w:t>Spindle Project</w:t>
      </w:r>
      <w:r>
        <w:rPr>
          <w:rFonts w:ascii="Times New Roman" w:cs="Times New Roman" w:eastAsia="Times New Roman" w:hAnsi="Times New Roman"/>
          <w:sz w:val="18"/>
          <w:szCs w:val="18"/>
          <w:color w:val="auto"/>
        </w:rPr>
        <w:t>”), and (b) the RS2 Project Company is developing a battery energy storage system facility, with an approximate installed capacity of 92 MW, in Kern County, California (the “</w:t>
      </w:r>
      <w:r>
        <w:rPr>
          <w:rFonts w:ascii="Times New Roman" w:cs="Times New Roman" w:eastAsia="Times New Roman" w:hAnsi="Times New Roman"/>
          <w:sz w:val="18"/>
          <w:szCs w:val="18"/>
          <w:i w:val="1"/>
          <w:iCs w:val="1"/>
          <w:color w:val="auto"/>
        </w:rPr>
        <w:t>RS2 Project</w:t>
      </w:r>
      <w:r>
        <w:rPr>
          <w:rFonts w:ascii="Times New Roman" w:cs="Times New Roman" w:eastAsia="Times New Roman" w:hAnsi="Times New Roman"/>
          <w:sz w:val="18"/>
          <w:szCs w:val="18"/>
          <w:color w:val="auto"/>
        </w:rPr>
        <w:t>” and, together with the Spindle Project, each a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 Seller directly owns one hundred percent (100%) of the limited liability company membership interests of RS2-Spindle TargetCo LLC, a Delaware limited liability company (the “</w:t>
      </w:r>
      <w:r>
        <w:rPr>
          <w:rFonts w:ascii="Times New Roman" w:cs="Times New Roman" w:eastAsia="Times New Roman" w:hAnsi="Times New Roman"/>
          <w:sz w:val="18"/>
          <w:szCs w:val="18"/>
          <w:i w:val="1"/>
          <w:iCs w:val="1"/>
          <w:color w:val="auto"/>
        </w:rPr>
        <w:t>Target Company</w:t>
      </w:r>
      <w:r>
        <w:rPr>
          <w:rFonts w:ascii="Times New Roman" w:cs="Times New Roman" w:eastAsia="Times New Roman" w:hAnsi="Times New Roman"/>
          <w:sz w:val="18"/>
          <w:szCs w:val="18"/>
          <w:color w:val="auto"/>
        </w:rPr>
        <w:t>”), (b) the Target Company owns one hundred percent (100%) of the limited liability company membership interests of RS2-Spindle Class B Member LLC, a Delaware limited liability company (the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(c) until the Tax Equity Investor (as defined below) makes its initial investment in RS2-Spindle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and, together with Target Company, Class B HoldCo, the Spindle Pledgor Company, the RS2 Pledgor Company, the Spindle Project Company and the RS2 Project Company, the “</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in accordance with the Tax Equity Agreements (as defined below), Class B HoldCo will own one hundred percent (100%) of the limited liability company membership interests of TE Holdco;</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prior to the Closing (as defined below), consistent with the provisions of the Tax Equity Agreements (as defined below), (a) Class B HoldCo will make a contribution in respect of the First Funded Project to TE HoldCo, and the Tax Equity Investor will make its initial investment in TE HoldCo in accordance with the Tax Equity Agreements,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and (ii) the portion of the limited liability company membership interests in TE HoldCo retained by Class B HoldCo to be converted into one hundred percent (100%) of the Class B membership interests in TE HoldCo, and (c) pursuant to the TE HoldCo MIPA, TE HoldCo will acquire one hundred percent (100%) of the limited liability company membership interests of the Pledgor Company that indirectly owns the First Funded Project (as defined below), from Project HoldCo;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subsequent to the consummation of the transactions described in the immediately preceding recital, TE HoldCo will own, directly or indirectly, all the limited liability company membership interests in the Project Company that directly owns the First Funded Project, and the Pledgor Company that directly owns such Project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of the Target Company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which shall be converted into one hundred percent (100%) of the Class A limited liability company membership interests in the Target Company, on the terms and subject to the conditions set forth in this Agreement;</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immediately following Purchaser’s acquisition of the Acquired Interests,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Seller will distribute (the “</w:t>
      </w:r>
      <w:r>
        <w:rPr>
          <w:rFonts w:ascii="Times New Roman" w:cs="Times New Roman" w:eastAsia="Times New Roman" w:hAnsi="Times New Roman"/>
          <w:sz w:val="18"/>
          <w:szCs w:val="18"/>
          <w:i w:val="1"/>
          <w:iCs w:val="1"/>
          <w:color w:val="auto"/>
        </w:rPr>
        <w:t>Seller Distribution</w:t>
      </w:r>
      <w:r>
        <w:rPr>
          <w:rFonts w:ascii="Times New Roman" w:cs="Times New Roman" w:eastAsia="Times New Roman" w:hAnsi="Times New Roman"/>
          <w:sz w:val="18"/>
          <w:szCs w:val="18"/>
          <w:color w:val="auto"/>
        </w:rPr>
        <w:t>”) to Clearway Renew LLC, a Delaware limited liability company (“</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the remaining one (1) unit, which represents the remaining portion of the limited liability company membership interests of the Target Company owned by Seller (the “</w:t>
      </w:r>
      <w:r>
        <w:rPr>
          <w:rFonts w:ascii="Times New Roman" w:cs="Times New Roman" w:eastAsia="Times New Roman" w:hAnsi="Times New Roman"/>
          <w:sz w:val="18"/>
          <w:szCs w:val="18"/>
          <w:i w:val="1"/>
          <w:iCs w:val="1"/>
          <w:color w:val="auto"/>
        </w:rPr>
        <w:t>Retained Interest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such Retained Interest shall be converted into one hundred percent (100%) of the Class C limited liability company membership interests in the Target Company;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A&amp;R LLCA, upon the consummation of the Closing, (a) the Acquired Interests shall be designated the “Class A Membership Interest” and (b) the Retained Interests shall be designated the “Class C Membership Interest”;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upon the occurrence of the Second Project MC Funding (as defined below), consistent with the provisions of the Tax Equity Agreements, (a) Class B HoldCo will make a contribution in respect of the Second Funded Project to TE HoldCo, and the Tax Equity Investor will make a subsequent investment in TE HoldCo in accordance with the Tax Equity Agreements, and (b) pursuant to the TE HoldCo MIPA, TE HoldCo will acquire one hundred percent (100%) of the limited liability company membership interests of the Pledgor Company that indirectly owns the Second Funded Project (as defined below), from Project HoldCo.</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RULES OF INTERPRETATION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1.01.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LLCA</w:t>
      </w:r>
      <w:r>
        <w:rPr>
          <w:rFonts w:ascii="Times New Roman" w:cs="Times New Roman" w:eastAsia="Times New Roman" w:hAnsi="Times New Roman"/>
          <w:sz w:val="18"/>
          <w:szCs w:val="18"/>
          <w:color w:val="auto"/>
        </w:rPr>
        <w:t xml:space="preserve">” means that certain Amended and Restated Limited Liability Company Agreement of the Target Company, substantially in the form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xml:space="preserve"> (and, with respect to any portion of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xml:space="preserve"> subject to finalization during the Interim Period, with such supplements or modifications thereto as may be mutually-agreed by the Parties, each acting reasonably and in good faith).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has the meaning set forth in the recitals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w:t>
      </w:r>
      <w:r>
        <w:rPr>
          <w:rFonts w:ascii="Times New Roman" w:cs="Times New Roman" w:eastAsia="Times New Roman" w:hAnsi="Times New Roman"/>
          <w:sz w:val="18"/>
          <w:szCs w:val="18"/>
          <w:color w:val="auto"/>
        </w:rPr>
        <w:t>” means the Purchase Price necessary to achieve at least the (a) Minimum NPV and (b) Minimum Average 5-Year CAFD Yield, inclusive of any Transaction Expenses, calculated in accordance with the Adjusted Purchase Price Models. Notwithstanding the foregoing, the Adjusted Purchase Price shall be no greater than 125% of the Base Purchase Price.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means the Adjusted Purchase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sum of the Base Prices.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means KeyBank National Association.</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CEG, Seller and the direct or indirect subsidiaries of each (other than Clearway Energy Inc., and its direct or indirect subsidiaries), on the one hand,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Clearway Energy Inc., Clearway Energy LLC, Purchaser Parent, Purchaser and the direct or indirect subsidiaries of each, on the other hand, shall not be considered “Affiliates,”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Purchaser, “Affiliates” shall be limited to Clearway Energy Inc. and its subsidiaries,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with respect to Seller, “Affiliates” shall be limited to Clearway Energy Group LLC and its subsidiaries.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Aggregate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Documents</w:t>
      </w:r>
      <w:r>
        <w:rPr>
          <w:rFonts w:ascii="Times New Roman" w:cs="Times New Roman" w:eastAsia="Times New Roman" w:hAnsi="Times New Roman"/>
          <w:sz w:val="18"/>
          <w:szCs w:val="18"/>
          <w:color w:val="auto"/>
        </w:rPr>
        <w:t xml:space="preserve">” means (a) the Assignment of Membership Interests and (b) the respective certificates to be executed and delivered at the Closing by Purchaser pursuant to </w:t>
      </w:r>
      <w:r>
        <w:rPr>
          <w:rFonts w:ascii="Times New Roman" w:cs="Times New Roman" w:eastAsia="Times New Roman" w:hAnsi="Times New Roman"/>
          <w:sz w:val="18"/>
          <w:szCs w:val="18"/>
          <w:i w:val="1"/>
          <w:iCs w:val="1"/>
          <w:color w:val="auto"/>
        </w:rPr>
        <w:t>Section 4.03(c)</w:t>
      </w:r>
      <w:r>
        <w:rPr>
          <w:rFonts w:ascii="Times New Roman" w:cs="Times New Roman" w:eastAsia="Times New Roman" w:hAnsi="Times New Roman"/>
          <w:sz w:val="18"/>
          <w:szCs w:val="18"/>
          <w:color w:val="auto"/>
        </w:rPr>
        <w:t xml:space="preserve"> or by Seller pursuant to </w:t>
      </w:r>
      <w:r>
        <w:rPr>
          <w:rFonts w:ascii="Times New Roman" w:cs="Times New Roman" w:eastAsia="Times New Roman" w:hAnsi="Times New Roman"/>
          <w:sz w:val="18"/>
          <w:szCs w:val="18"/>
          <w:i w:val="1"/>
          <w:iCs w:val="1"/>
          <w:color w:val="auto"/>
        </w:rPr>
        <w:t>Section 4.02(d)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5-Year CAFD Yield</w:t>
      </w:r>
      <w:r>
        <w:rPr>
          <w:rFonts w:ascii="Times New Roman" w:cs="Times New Roman" w:eastAsia="Times New Roman" w:hAnsi="Times New Roman"/>
          <w:sz w:val="18"/>
          <w:szCs w:val="18"/>
          <w:color w:val="auto"/>
        </w:rPr>
        <w:t>” means the average annual CAFD Yield for the first five (5) calendar year period following commencement of full Portfolio operations, calculated in accordance with the Base Case Model and Portfolio Companion File as the context may require.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with respect to the RS2 Project Company, the financial projections in file “CWEN - Rosamond South II - 11.11.2025”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the Spindle Project Company, the financial projections in file “CWEN - Spindle - 11.11.2025”, as the context may require.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Price</w:t>
      </w:r>
      <w:r>
        <w:rPr>
          <w:rFonts w:ascii="Times New Roman" w:cs="Times New Roman" w:eastAsia="Times New Roman" w:hAnsi="Times New Roman"/>
          <w:sz w:val="18"/>
          <w:szCs w:val="18"/>
          <w:color w:val="auto"/>
        </w:rPr>
        <w:t>” means the Base Spindle Price or the Base RS2 Price,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RS2 Price</w:t>
      </w:r>
      <w:r>
        <w:rPr>
          <w:rFonts w:ascii="Times New Roman" w:cs="Times New Roman" w:eastAsia="Times New Roman" w:hAnsi="Times New Roman"/>
          <w:sz w:val="18"/>
          <w:szCs w:val="18"/>
          <w:color w:val="auto"/>
        </w:rPr>
        <w:t>” means $47,223,820.40.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Spindle Price</w:t>
      </w:r>
      <w:r>
        <w:rPr>
          <w:rFonts w:ascii="Times New Roman" w:cs="Times New Roman" w:eastAsia="Times New Roman" w:hAnsi="Times New Roman"/>
          <w:sz w:val="18"/>
          <w:szCs w:val="18"/>
          <w:color w:val="auto"/>
        </w:rPr>
        <w:t>” means $45,767,245.76.</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are authorized or obligated to close.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CAFD</w:t>
      </w:r>
      <w:r>
        <w:rPr>
          <w:rFonts w:ascii="Times New Roman" w:cs="Times New Roman" w:eastAsia="Times New Roman" w:hAnsi="Times New Roman"/>
          <w:sz w:val="18"/>
          <w:szCs w:val="18"/>
          <w:color w:val="auto"/>
        </w:rPr>
        <w:t>” means the projected net pre-tax cash flows generated by the Portfolio that are available for distribution to the Purchaser, calculated in accordance with the Base Case Model and Portfolio Companion File, as the context may require.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CAFD Yield</w:t>
      </w:r>
      <w:r>
        <w:rPr>
          <w:rFonts w:ascii="Times New Roman" w:cs="Times New Roman" w:eastAsia="Times New Roman" w:hAnsi="Times New Roman"/>
          <w:sz w:val="18"/>
          <w:szCs w:val="18"/>
          <w:color w:val="auto"/>
        </w:rPr>
        <w:t xml:space="preserve">” means the ratio, expressed as a percentage, of (i) the Portfolio’s projected CAFD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Purchase Price, calculated in accordance with the Base Case Model and Portfolio Companion File, as the context may require.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“CAISO” </w:t>
      </w:r>
      <w:r>
        <w:rPr>
          <w:rFonts w:ascii="Times New Roman" w:cs="Times New Roman" w:eastAsia="Times New Roman" w:hAnsi="Times New Roman"/>
          <w:sz w:val="18"/>
          <w:szCs w:val="18"/>
          <w:color w:val="auto"/>
        </w:rPr>
        <w:t>means the California Independent System Operator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means Clearway Energy Group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Endorsement</w:t>
      </w:r>
      <w:r>
        <w:rPr>
          <w:rFonts w:ascii="Times New Roman" w:cs="Times New Roman" w:eastAsia="Times New Roman" w:hAnsi="Times New Roman"/>
          <w:sz w:val="18"/>
          <w:szCs w:val="18"/>
          <w:color w:val="auto"/>
        </w:rPr>
        <w:t>” means a date down endorsement to the Execution Date Title Policy in respect of the First Funded Project.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means all material Contracts to which any Acquired Company is a party or by which any Acquired Company or any of its assets or properties are bound, including: (a) all Contracts for the purchase, exchange or sale of electric power, capacity, ancillary services or Environmental Attributes; (b) all Contracts for the transmission of electric power; (c) all interconnection Contracts for electricity; (d) all Contracts with</w:t>
      </w:r>
    </w:p>
    <w:p>
      <w:pPr>
        <w:spacing w:after="0" w:line="1" w:lineRule="exact"/>
        <w:rPr>
          <w:sz w:val="20"/>
          <w:szCs w:val="20"/>
          <w:color w:val="auto"/>
        </w:rPr>
      </w:pPr>
    </w:p>
    <w:p>
      <w:pPr>
        <w:ind w:firstLine="8"/>
        <w:spacing w:after="0" w:line="260" w:lineRule="auto"/>
        <w:tabs>
          <w:tab w:leader="none" w:pos="2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or (ii) any of its Affiliates (other than any other Acquired Company); and (e) all Contracts relating to the Acquired Interests or membership interests of any Acquired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CoPUC</w:t>
      </w:r>
      <w:r>
        <w:rPr>
          <w:rFonts w:ascii="Times New Roman" w:cs="Times New Roman" w:eastAsia="Times New Roman" w:hAnsi="Times New Roman"/>
          <w:sz w:val="18"/>
          <w:szCs w:val="18"/>
          <w:color w:val="auto"/>
        </w:rPr>
        <w:t>” means the California Public Utilities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Delay Damages</w:t>
      </w:r>
      <w:r>
        <w:rPr>
          <w:rFonts w:ascii="Times New Roman" w:cs="Times New Roman" w:eastAsia="Times New Roman" w:hAnsi="Times New Roman"/>
          <w:sz w:val="18"/>
          <w:szCs w:val="18"/>
          <w:color w:val="auto"/>
        </w:rPr>
        <w:t xml:space="preserve">” means any (a) “COD Liquidated Delay Damages” (as defined in the Contract identified as item 1 under “Offtake Agreements” under “SPINDLE”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12.4 of such Contract, or (b) “Daily Delay Damages” (as defined in the Contracts identified as items 1 and 2 under “Offtake Agreements” under “ROSAMOND SOUTH II”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2.10.1 of each such Contract, in each case, paid by any Project Company. “</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 means (i) seven and 50/100ths percent (7.50%) for the Spindle Project and (ii) eight and 50/100ths percent (8.50%) for the RS2 Project, and shall be used to determine the Net Present Value, as set forth in the Base Case Model and Portfolio Companion File, as the context may require.</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either Project, or otherwise attributable to either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 Contract</w:t>
      </w:r>
      <w:r>
        <w:rPr>
          <w:rFonts w:ascii="Times New Roman" w:cs="Times New Roman" w:eastAsia="Times New Roman" w:hAnsi="Times New Roman"/>
          <w:sz w:val="18"/>
          <w:szCs w:val="18"/>
          <w:color w:val="auto"/>
        </w:rPr>
        <w:t>” means (a) that certain Engineering, Procurement and Construction Agreement, dated as of August 8, 2025, by and between the RS2 Project Company and Rosendin Electric, Inc., a California corporation, or (b) that certain Engineering, Procurement and Construction Agreement, dated as of October 7, 2025, by and between the Spindle Project Company and Blattner Energy, LLC, a Minnesota limited liability company, as the context may require.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Acquired Companies shall not be considered to be ERISA Affiliates from and after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 Title Policy</w:t>
      </w:r>
      <w:r>
        <w:rPr>
          <w:rFonts w:ascii="Times New Roman" w:cs="Times New Roman" w:eastAsia="Times New Roman" w:hAnsi="Times New Roman"/>
          <w:sz w:val="18"/>
          <w:szCs w:val="18"/>
          <w:color w:val="auto"/>
        </w:rPr>
        <w:t>” means each of (a) that certain Owner’s Policy of Title Insurance in favor of the RS2 Project Company, to be issued by the applicable Title Company, or (b) that certain Owner’s Policy of Title Insurance in favor of the Spindle Project Company, to be issued by the applicable Title Company.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that certain Financing Agreement, dated as of November 21, 2025, by and among Class B HoldCo, the RS2 Project Company, the Spindle Project Company, the Administrative Agent, KeyBank National Association, as collateral agent, and the lenders and issuing banks from time to time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the “Financing Documents” (as defined in the Financing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Funded Project</w:t>
      </w:r>
      <w:r>
        <w:rPr>
          <w:rFonts w:ascii="Times New Roman" w:cs="Times New Roman" w:eastAsia="Times New Roman" w:hAnsi="Times New Roman"/>
          <w:sz w:val="18"/>
          <w:szCs w:val="18"/>
          <w:color w:val="auto"/>
        </w:rPr>
        <w:t>” means the first Project to achieve Mechanical Completion, and which is the subject of the first Project MC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to occur.</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MC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Funding</w:t>
      </w:r>
      <w:r>
        <w:rPr>
          <w:rFonts w:ascii="Times New Roman" w:cs="Times New Roman" w:eastAsia="Times New Roman" w:hAnsi="Times New Roman"/>
          <w:sz w:val="18"/>
          <w:szCs w:val="18"/>
          <w:color w:val="auto"/>
        </w:rPr>
        <w:t>” means the Project SC Funding in respect of the First Funded Project.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Funding Date</w:t>
      </w:r>
      <w:r>
        <w:rPr>
          <w:rFonts w:ascii="Times New Roman" w:cs="Times New Roman" w:eastAsia="Times New Roman" w:hAnsi="Times New Roman"/>
          <w:sz w:val="18"/>
          <w:szCs w:val="18"/>
          <w:color w:val="auto"/>
        </w:rPr>
        <w:t>” means the date on which the First Project SC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Project Support Obligations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5.07(a).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CaPUC, CoPUC, and the Regional Entity, or any court or governmental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(f) per or poly fluoroalkyl substances;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radioactive materials (other than naturally occurring radioactive materials).</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Insured Property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ITC</w:t>
      </w:r>
      <w:r>
        <w:rPr>
          <w:rFonts w:ascii="Times New Roman" w:cs="Times New Roman" w:eastAsia="Times New Roman" w:hAnsi="Times New Roman"/>
          <w:sz w:val="18"/>
          <w:szCs w:val="18"/>
          <w:color w:val="auto"/>
        </w:rPr>
        <w:t>” means the federal investment tax credit set forth in Section 48 of the Code or any successor provision.</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(a) in the case of Seller, [***], and (b) in the case of Purchaser, [***], in each case, after reasonable inquiry of their direct reports.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any conditional sale or other title retention agreement, any lease in the nature thereof, and any agreement to give any lien or security interest).</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either Project that is reasonably likely to result in a material delay in achieving commercial operations of such Project;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either Project or any Acquired Company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either Base Case Model, any fact, event, circumstance, condition or change that has a material adverse effect on the expected generation from or operating cost of either Project.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Master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5.13.</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electric generating industry or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any Acquired Company;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any Acquired Company operates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any Acquired Company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w:t>
      </w:r>
    </w:p>
    <w:p>
      <w:pPr>
        <w:spacing w:after="0" w:line="2" w:lineRule="exact"/>
        <w:rPr>
          <w:sz w:val="20"/>
          <w:szCs w:val="20"/>
          <w:color w:val="auto"/>
        </w:rPr>
      </w:pPr>
    </w:p>
    <w:p>
      <w:pPr>
        <w:jc w:val="both"/>
        <w:ind w:firstLine="8"/>
        <w:spacing w:after="0" w:line="255" w:lineRule="auto"/>
        <w:tabs>
          <w:tab w:leader="none" w:pos="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 and the State of Colorado, as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Mechanical Completion</w:t>
      </w:r>
      <w:r>
        <w:rPr>
          <w:rFonts w:ascii="Times New Roman" w:cs="Times New Roman" w:eastAsia="Times New Roman" w:hAnsi="Times New Roman"/>
          <w:sz w:val="18"/>
          <w:szCs w:val="18"/>
          <w:color w:val="auto"/>
        </w:rPr>
        <w:t>” has the meaning to be set forth in the Tax Equity ECCA.</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“Minimum Average 5-Year CAFD Yield” means an Average 5-Year CAFD Yield of ten and 50/100ths percent (10.50%).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“Minimum NPV” means a Net Present Value of $[***].</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“NERC” </w:t>
      </w:r>
      <w:r>
        <w:rPr>
          <w:rFonts w:ascii="Times New Roman" w:cs="Times New Roman" w:eastAsia="Times New Roman" w:hAnsi="Times New Roman"/>
          <w:sz w:val="18"/>
          <w:szCs w:val="18"/>
          <w:color w:val="auto"/>
        </w:rPr>
        <w:t>means the North American Electric Reliability Corporation.</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Present Value</w:t>
      </w:r>
      <w:r>
        <w:rPr>
          <w:rFonts w:ascii="Times New Roman" w:cs="Times New Roman" w:eastAsia="Times New Roman" w:hAnsi="Times New Roman"/>
          <w:sz w:val="18"/>
          <w:szCs w:val="18"/>
          <w:color w:val="auto"/>
        </w:rPr>
        <w:t xml:space="preserve">” means, with respect to the Portfolio, (i) the present value using the Discount Rate of the projected net after-tax cash flows generated by the Portfolio over its expected operational life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present value using the Discount Rate of the Purchase Price, as calculated in accordance with the Base Case Model and Portfolio Companion File, as the context may require.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issuer;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Liens created pursuant to, and securing any Indebtedness under, the Financing Documents or Tax Equity Documents.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(a)            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all building codes and zoning ordinances and other Laws of any Governmental Authority heretofore, now or hereafter enacted, made or issued by any such Governmental Authority affecting the Real Property Rights;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inchoate mechanic’s and materialmen’s liens for construction in progress and workmen’s, repairmen’s, warehousemen’s and carrier’s liens arising in the ordinary course of business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Acquired Companies,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or Tax Equity Agreements;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encumbrance or exception reflected in any Title Policy;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19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w:t>
      </w:r>
      <w:r>
        <w:rPr>
          <w:rFonts w:ascii="Times New Roman" w:cs="Times New Roman" w:eastAsia="Times New Roman" w:hAnsi="Times New Roman"/>
          <w:sz w:val="18"/>
          <w:szCs w:val="18"/>
          <w:color w:val="auto"/>
        </w:rPr>
        <w:t>” has the meaning to be set forth in the Tax Equity ECCA.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Portfolio</w:t>
      </w:r>
      <w:r>
        <w:rPr>
          <w:rFonts w:ascii="Times New Roman" w:cs="Times New Roman" w:eastAsia="Times New Roman" w:hAnsi="Times New Roman"/>
          <w:sz w:val="18"/>
          <w:szCs w:val="18"/>
          <w:color w:val="auto"/>
        </w:rPr>
        <w:t>” means the RS2 Project and the Spindle Project.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Portfolio Companion File</w:t>
      </w:r>
      <w:r>
        <w:rPr>
          <w:rFonts w:ascii="Times New Roman" w:cs="Times New Roman" w:eastAsia="Times New Roman" w:hAnsi="Times New Roman"/>
          <w:sz w:val="18"/>
          <w:szCs w:val="18"/>
          <w:color w:val="auto"/>
        </w:rPr>
        <w:t>” means the Excel file titled “RS2-S_Portfolio Companion File 11.11.2025,” as updated by Seller as of or prior to the Second Project SC Payment Date on the basis of the Adjusted Purchase Price Models.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 with respect to each Base Case Model, each of the following adjustments made prior to the Second Project SC Payment Date, reflecting the following:</w:t>
      </w:r>
    </w:p>
    <w:p>
      <w:pPr>
        <w:spacing w:after="0" w:line="160" w:lineRule="exact"/>
        <w:rPr>
          <w:sz w:val="20"/>
          <w:szCs w:val="20"/>
          <w:color w:val="auto"/>
        </w:rPr>
      </w:pPr>
    </w:p>
    <w:p>
      <w:pPr>
        <w:ind w:left="1520" w:hanging="216"/>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date on which any historical project or financing milestone has occurred;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revised date on which any forecasted project or financing milestone is reasonably expected to occur;</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 fair market value and (b) cost segregation, in each case as reflected in any bring-down appraisal or cost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report;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 capacity, (b) useful life, (c) operations and maintenance, (d) major maintenance, (e) auxiliary load, or (f) other technical or operating costs, in each case as agreed between the Parties and reasonably informed by the bring-down of the “Independent Engineer Report” (or equivalent term) (to be defined in the Tax Equity ECCA);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1304"/>
        <w:spacing w:after="0" w:line="266" w:lineRule="auto"/>
        <w:tabs>
          <w:tab w:leader="none" w:pos="15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 availability, (b) monthly gross or net generation, (c) seasonal generation profile, or (d) degradation, as agreed between the Parties and reasonably informed by the bring-down of the “Independent Engineer Report” (or equivalent term) (to be defined in the Tax Equity ECCA);</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 project administration, (b) site lease, (c) power purchase agreement costs, or (d) other costs, in each case as reflected in the project documents or otherwise reasonably expected to be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magnitude, timing, or character of (a) tax benefits or liabilities or (b) cash benefits or liabilities, in each case as reflected in the Financing Documents or otherwise reasonably expected to be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 as agreed between the Parties and reasonably informed by the bring-down “Insurance Report” (or equivalent term) (to be defined in the Tax Equity ECCA);</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costs (including those as a result of the imposition of any tariffs or regulations);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sales and use, franchise, excise, or other taxes reasonably expected to be incurred;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correction of any manifest errors and clerical inaccuracies;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scheduling, commercial operations, market participation, community benefit, decommissioning, or other costs, in each case reasonably expected to be incurred pursuant to any project or financing agreement or otherwise reasonably forecasted and mutually agreed by the Parties;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forward energy price curve or forward REC price curve applicable to either Project for the period starting on the First Project SC Payment Date until the third anniversary of the Second Project SC Payment Date, as determined by Seller’s market fundamentals group in good faith and informed by S&amp;P Global Platts, or another reputable market data provider; and</w:t>
      </w:r>
    </w:p>
    <w:p>
      <w:pPr>
        <w:spacing w:after="0" w:line="1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changes that Seller reasonably proposes as agreed to by the Parties.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MC Funding</w:t>
      </w:r>
      <w:r>
        <w:rPr>
          <w:rFonts w:ascii="Times New Roman" w:cs="Times New Roman" w:eastAsia="Times New Roman" w:hAnsi="Times New Roman"/>
          <w:sz w:val="18"/>
          <w:szCs w:val="18"/>
          <w:color w:val="auto"/>
        </w:rPr>
        <w:t>” means, with respect to each Project, “Initial Funding” (to be defined in the Tax Equity ECCA) pursuant to the Tax</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ECCA.</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MC Funding Date</w:t>
      </w:r>
      <w:r>
        <w:rPr>
          <w:rFonts w:ascii="Times New Roman" w:cs="Times New Roman" w:eastAsia="Times New Roman" w:hAnsi="Times New Roman"/>
          <w:sz w:val="18"/>
          <w:szCs w:val="18"/>
          <w:color w:val="auto"/>
        </w:rPr>
        <w:t>” means, with respect to each Project, the date on which the Project MC Funding in respect of such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SC Funding</w:t>
      </w:r>
      <w:r>
        <w:rPr>
          <w:rFonts w:ascii="Times New Roman" w:cs="Times New Roman" w:eastAsia="Times New Roman" w:hAnsi="Times New Roman"/>
          <w:sz w:val="18"/>
          <w:szCs w:val="18"/>
          <w:color w:val="auto"/>
        </w:rPr>
        <w:t>” means, with respect to each Project, “Final Funding” (to be defined in the Tax Equity ECCA) pursuant to the Tax</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ECCA.</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SC Funding Date</w:t>
      </w:r>
      <w:r>
        <w:rPr>
          <w:rFonts w:ascii="Times New Roman" w:cs="Times New Roman" w:eastAsia="Times New Roman" w:hAnsi="Times New Roman"/>
          <w:sz w:val="18"/>
          <w:szCs w:val="18"/>
          <w:color w:val="auto"/>
        </w:rPr>
        <w:t>” means, with respect to each Project, the date on which the Project SC Funding in respect of such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“Purchase Price Payments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Cash Diversion Guaranty</w:t>
      </w:r>
      <w:r>
        <w:rPr>
          <w:rFonts w:ascii="Times New Roman" w:cs="Times New Roman" w:eastAsia="Times New Roman" w:hAnsi="Times New Roman"/>
          <w:sz w:val="18"/>
          <w:szCs w:val="18"/>
          <w:color w:val="auto"/>
        </w:rPr>
        <w:t>” means (a) the RS2 Cash Diversion Guaranty (as defined in the Financing Agreement) or (b) the Spindle Cash Diversion Guaranty (as defined in the Financing Agreement), as the context may require, in each case to be entered into by Purchaser Parent on behalf of Class B HoldCo in favor of the Administrative Agent pursuant to Section 5.25 of the Financing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and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dated as of the Execution Date and issued by the Purchaser Parent, in the form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Equity Guaranty</w:t>
      </w:r>
      <w:r>
        <w:rPr>
          <w:rFonts w:ascii="Times New Roman" w:cs="Times New Roman" w:eastAsia="Times New Roman" w:hAnsi="Times New Roman"/>
          <w:sz w:val="18"/>
          <w:szCs w:val="18"/>
          <w:color w:val="auto"/>
        </w:rPr>
        <w:t xml:space="preserve">” means that certain Guaranty Agreement to be entered into pursuant to the Tax Equity ECCA, by Purchaser Parent,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Credit Transfer Guaranty</w:t>
      </w:r>
      <w:r>
        <w:rPr>
          <w:rFonts w:ascii="Times New Roman" w:cs="Times New Roman" w:eastAsia="Times New Roman" w:hAnsi="Times New Roman"/>
          <w:sz w:val="18"/>
          <w:szCs w:val="18"/>
          <w:color w:val="auto"/>
        </w:rPr>
        <w:t xml:space="preserve">” means any Guaranty Agreement to be entered into pursuant to any Tax Credit Transfer Agreement by Purchaser Parent on behalf of TE HoldCo (or another Acquired Company), in favor of any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 has the meaning set forth in the definition of “Environmental Attributes.”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“Regional Entity” </w:t>
      </w:r>
      <w:r>
        <w:rPr>
          <w:rFonts w:ascii="Times New Roman" w:cs="Times New Roman" w:eastAsia="Times New Roman" w:hAnsi="Times New Roman"/>
          <w:sz w:val="18"/>
          <w:szCs w:val="18"/>
          <w:color w:val="auto"/>
        </w:rPr>
        <w:t>means the Western Electricity Coordinating Council.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for each Project: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 Report” (to be defined in the Tax Equity ECCA);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(to be defined in the Tax Equity ECCA);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“Insurance Report” (to be defined in the Tax Equity ECCA); in each case,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including any bring downs of such reports delivered pursuant to the Tax Equity ECCA as of the Closing Date.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Interest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RS2 Pledgor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RS2 Project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RS2 Project 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Funded Project</w:t>
      </w:r>
      <w:r>
        <w:rPr>
          <w:rFonts w:ascii="Times New Roman" w:cs="Times New Roman" w:eastAsia="Times New Roman" w:hAnsi="Times New Roman"/>
          <w:sz w:val="18"/>
          <w:szCs w:val="18"/>
          <w:color w:val="auto"/>
        </w:rPr>
        <w:t>” means the second Project to achieve Mechanical Completion, and which is the subject of the Second Project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Funding.</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Funding</w:t>
      </w:r>
      <w:r>
        <w:rPr>
          <w:rFonts w:ascii="Times New Roman" w:cs="Times New Roman" w:eastAsia="Times New Roman" w:hAnsi="Times New Roman"/>
          <w:sz w:val="18"/>
          <w:szCs w:val="18"/>
          <w:color w:val="auto"/>
        </w:rPr>
        <w:t>” means the second Project MC Funding to occur, upon which,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Funding Date</w:t>
      </w:r>
      <w:r>
        <w:rPr>
          <w:rFonts w:ascii="Times New Roman" w:cs="Times New Roman" w:eastAsia="Times New Roman" w:hAnsi="Times New Roman"/>
          <w:sz w:val="18"/>
          <w:szCs w:val="18"/>
          <w:color w:val="auto"/>
        </w:rPr>
        <w:t>” means the date on which the Second Project MC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“Second Project MC Payment</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i w:val="1"/>
          <w:iCs w:val="1"/>
          <w:color w:val="auto"/>
        </w:rPr>
        <w:t xml:space="preserve"> Section 2.02(a)(ii)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MC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Funding</w:t>
      </w:r>
      <w:r>
        <w:rPr>
          <w:rFonts w:ascii="Times New Roman" w:cs="Times New Roman" w:eastAsia="Times New Roman" w:hAnsi="Times New Roman"/>
          <w:sz w:val="18"/>
          <w:szCs w:val="18"/>
          <w:color w:val="auto"/>
        </w:rPr>
        <w:t>” means the Project SC Funding in respect of the Second Funded Project.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Funding Date</w:t>
      </w:r>
      <w:r>
        <w:rPr>
          <w:rFonts w:ascii="Times New Roman" w:cs="Times New Roman" w:eastAsia="Times New Roman" w:hAnsi="Times New Roman"/>
          <w:sz w:val="18"/>
          <w:szCs w:val="18"/>
          <w:color w:val="auto"/>
        </w:rPr>
        <w:t>” means the date on which the Second Project SC Funding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SC Payment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2.02(a)(iv)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Project Support Obligations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Cash Diversion Guaranty</w:t>
      </w:r>
      <w:r>
        <w:rPr>
          <w:rFonts w:ascii="Times New Roman" w:cs="Times New Roman" w:eastAsia="Times New Roman" w:hAnsi="Times New Roman"/>
          <w:sz w:val="18"/>
          <w:szCs w:val="18"/>
          <w:color w:val="auto"/>
        </w:rPr>
        <w:t>” means (a) the RS2 Cash Diversion Guaranty (as defined in the Financing Agreement) or (b) the Spindle Cash Diversion Guaranty (as defined in the Financing Agreement), as the context may require, in each case to be entered into by Seller Parent on behalf of Class B HoldCo in favor of the Administrative Agent pursuant to Section 5.25 of the Financing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Distribution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and each of its Representatives.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Execution Date and attached hereto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Equity Guaranty</w:t>
      </w:r>
      <w:r>
        <w:rPr>
          <w:rFonts w:ascii="Times New Roman" w:cs="Times New Roman" w:eastAsia="Times New Roman" w:hAnsi="Times New Roman"/>
          <w:sz w:val="18"/>
          <w:szCs w:val="18"/>
          <w:color w:val="auto"/>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Credit Transfer Guaranty</w:t>
      </w:r>
      <w:r>
        <w:rPr>
          <w:rFonts w:ascii="Times New Roman" w:cs="Times New Roman" w:eastAsia="Times New Roman" w:hAnsi="Times New Roman"/>
          <w:sz w:val="18"/>
          <w:szCs w:val="18"/>
          <w:color w:val="auto"/>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Spindle Pledgor 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Spindle Project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Spindle Project 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Purchaser</w:t>
      </w:r>
      <w:r>
        <w:rPr>
          <w:rFonts w:ascii="Times New Roman" w:cs="Times New Roman" w:eastAsia="Times New Roman" w:hAnsi="Times New Roman"/>
          <w:sz w:val="18"/>
          <w:szCs w:val="18"/>
          <w:color w:val="auto"/>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Transfer Agreement</w:t>
      </w:r>
      <w:r>
        <w:rPr>
          <w:rFonts w:ascii="Times New Roman" w:cs="Times New Roman" w:eastAsia="Times New Roman" w:hAnsi="Times New Roman"/>
          <w:sz w:val="18"/>
          <w:szCs w:val="18"/>
          <w:color w:val="auto"/>
        </w:rPr>
        <w:t xml:space="preserve">” means any tax credit transfer agreement (or the equivalent), to be entered into by and between any Tax Credit Purchaser and a TE HoldCo (or another Acquired Company), as applicable,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Credit Transfer Transaction</w:t>
      </w:r>
      <w:r>
        <w:rPr>
          <w:rFonts w:ascii="Times New Roman" w:cs="Times New Roman" w:eastAsia="Times New Roman" w:hAnsi="Times New Roman"/>
          <w:sz w:val="18"/>
          <w:szCs w:val="18"/>
          <w:color w:val="auto"/>
        </w:rPr>
        <w:t>” means a sale, transfer or other disposition of all or a portion of any ITC in accordance with Code Section 6418, in respect of a Project or a Project Company.</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Agreements</w:t>
      </w:r>
      <w:r>
        <w:rPr>
          <w:rFonts w:ascii="Times New Roman" w:cs="Times New Roman" w:eastAsia="Times New Roman" w:hAnsi="Times New Roman"/>
          <w:sz w:val="18"/>
          <w:szCs w:val="18"/>
          <w:color w:val="auto"/>
        </w:rPr>
        <w:t>” means, collectively, the Tax Equity ECCA, the Tax Equity LLCA, the TE HoldCo MIPA, and the Seller Tax Equity Guaranty, the Purchaser Tax Equity Guaranty, any Tax Credit Transfer Agreement, any Seller Tax Credit Transfer Guaranty and any Purchaser Tax Credit Transfer Guaranty.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Documents</w:t>
      </w:r>
      <w:r>
        <w:rPr>
          <w:rFonts w:ascii="Times New Roman" w:cs="Times New Roman" w:eastAsia="Times New Roman" w:hAnsi="Times New Roman"/>
          <w:sz w:val="18"/>
          <w:szCs w:val="18"/>
          <w:color w:val="auto"/>
        </w:rPr>
        <w:t xml:space="preserve">” means each of the Tax Equity Agreements and each other agreement or certificate to be executed and delivered pursuant to the Tax Equity ECCA or the Tax Equity LLCA, or any Tax Credit Transfer Agreement in each case, pursuant to the terms and subject to the conditions of </w:t>
      </w:r>
      <w:r>
        <w:rPr>
          <w:rFonts w:ascii="Times New Roman" w:cs="Times New Roman" w:eastAsia="Times New Roman" w:hAnsi="Times New Roman"/>
          <w:sz w:val="18"/>
          <w:szCs w:val="18"/>
          <w:i w:val="1"/>
          <w:iCs w:val="1"/>
          <w:color w:val="auto"/>
        </w:rPr>
        <w:t>Section 5.12(a).</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Financing</w:t>
      </w:r>
      <w:r>
        <w:rPr>
          <w:rFonts w:ascii="Times New Roman" w:cs="Times New Roman" w:eastAsia="Times New Roman" w:hAnsi="Times New Roman"/>
          <w:sz w:val="18"/>
          <w:szCs w:val="18"/>
          <w:color w:val="auto"/>
        </w:rPr>
        <w:t>” means, with respect to the Projects and the Project Companies, any tax equity financing entered into in connection with the acquisition, sale, lease, financing or refinancing of the Projects and the Project Companies, or any direct or indirect parent thereof, which may include a Tax Credit Transfer Transaction.</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ECCA</w:t>
      </w:r>
      <w:r>
        <w:rPr>
          <w:rFonts w:ascii="Times New Roman" w:cs="Times New Roman" w:eastAsia="Times New Roman" w:hAnsi="Times New Roman"/>
          <w:sz w:val="18"/>
          <w:szCs w:val="18"/>
          <w:color w:val="auto"/>
        </w:rPr>
        <w:t xml:space="preserve">” means that certain Equity Capital Contribution Agreement, to be entered into between the Tax Equity Investor and Class B HoldCo,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U.S. Bancorp Community Development Corporation or another investor acceptable to Purchaser.</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LLCA</w:t>
      </w:r>
      <w:r>
        <w:rPr>
          <w:rFonts w:ascii="Times New Roman" w:cs="Times New Roman" w:eastAsia="Times New Roman" w:hAnsi="Times New Roman"/>
          <w:sz w:val="18"/>
          <w:szCs w:val="18"/>
          <w:color w:val="auto"/>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xml:space="preserve">” means the “Base Case Model” or, collectively, the “Base Case Models” in respect of each Project, in each case, as defined in and updated pursuant to the Tax Equity ECCA, the initial forms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Loss</w:t>
      </w:r>
      <w:r>
        <w:rPr>
          <w:rFonts w:ascii="Times New Roman" w:cs="Times New Roman" w:eastAsia="Times New Roman" w:hAnsi="Times New Roman"/>
          <w:sz w:val="18"/>
          <w:szCs w:val="18"/>
          <w:color w:val="auto"/>
        </w:rPr>
        <w:t>” means “Tax Loss” (to be defined in the Tax Equity ECCA).</w:t>
      </w:r>
    </w:p>
    <w:p>
      <w:pPr>
        <w:spacing w:after="0" w:line="22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Loss Cap</w:t>
      </w:r>
      <w:r>
        <w:rPr>
          <w:rFonts w:ascii="Times New Roman" w:cs="Times New Roman" w:eastAsia="Times New Roman" w:hAnsi="Times New Roman"/>
          <w:sz w:val="18"/>
          <w:szCs w:val="18"/>
          <w:color w:val="auto"/>
        </w:rPr>
        <w:t>” means an amount equal to the sum, in the aggregate, of (a) the maximum amount of Purchaser Parent’s liability under the Purchaser Tax Equity Guaranty, plus (b) the maximum amount of Purchaser Parent’s liability under any Purchaser Tax Credit Transfer Guaranty.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 Account</w:t>
      </w:r>
      <w:r>
        <w:rPr>
          <w:rFonts w:ascii="Times New Roman" w:cs="Times New Roman" w:eastAsia="Times New Roman" w:hAnsi="Times New Roman"/>
          <w:sz w:val="18"/>
          <w:szCs w:val="18"/>
          <w:color w:val="auto"/>
        </w:rPr>
        <w:t>” means the “TE Holdco Account,” or each such “TE Holdco Account” in respect of a Project (in each case, as such term is defined in the Financing Agreement).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 MIPA</w:t>
      </w:r>
      <w:r>
        <w:rPr>
          <w:rFonts w:ascii="Times New Roman" w:cs="Times New Roman" w:eastAsia="Times New Roman" w:hAnsi="Times New Roman"/>
          <w:sz w:val="18"/>
          <w:szCs w:val="18"/>
          <w:color w:val="auto"/>
        </w:rPr>
        <w:t xml:space="preserve">” means that certain Membership Interest Purchase Agreement for the sale by Project HoldCo and the purchase by TE HoldCo of (a) upon the occurrence of the Project MC Funding for the First Funded Project, one hundred percent (100%) of the membership interests of the Pledgor Company that indirectly owns the First Funded Project and (b) upon the occurrence of the Project MC Funding for the Second Funded Project, one hundred percent (100%) of the membership interests of the Pledgor Company that indirectly owns the Second Funded Project,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with respect to the RS2 Project Company, Stewart Title Guaranty Company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the Spindle Project Company, Old Republic National Title Insurance Company, as the context may require,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another nationally-recognized title insurance company reasonably acceptable to the Parties.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means each Owner’s Policy for an ALTA 2006 extended coverage owner’s policy of title insurance, issued by the applicable Title Company in favor of the applicable Project Company or otherwise in form and substance reasonably acceptable to Purchaser.</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Proformas</w:t>
      </w:r>
      <w:r>
        <w:rPr>
          <w:rFonts w:ascii="Times New Roman" w:cs="Times New Roman" w:eastAsia="Times New Roman" w:hAnsi="Times New Roman"/>
          <w:sz w:val="18"/>
          <w:szCs w:val="18"/>
          <w:color w:val="auto"/>
        </w:rPr>
        <w:t>” means, for each Project, that certain pro forma Title Policy to be delivered to the Tax Equity Investor pursuant to the Tax Equity ECCA, in form and substance reasonably acceptable to Purchaser.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Ancillary Documents and the A&amp;R LLCA.</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spacing w:after="0" w:line="18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b w:val="1"/>
          <w:bCs w:val="1"/>
          <w:color w:val="auto"/>
        </w:rPr>
        <w:t>1.02.       </w:t>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xml:space="preserve">, an aggregate amount equal to the sum of (a) the Base RS2 Price, and (b) the Base Spindle Price, each of which shall be subject to adjustment in accordance with </w:t>
      </w:r>
      <w:r>
        <w:rPr>
          <w:rFonts w:ascii="Times New Roman" w:cs="Times New Roman" w:eastAsia="Times New Roman" w:hAnsi="Times New Roman"/>
          <w:sz w:val="18"/>
          <w:szCs w:val="18"/>
          <w:i w:val="1"/>
          <w:iCs w:val="1"/>
          <w:color w:val="auto"/>
        </w:rPr>
        <w:t>Section 2.04(a)</w:t>
      </w:r>
      <w:r>
        <w:rPr>
          <w:rFonts w:ascii="Times New Roman" w:cs="Times New Roman" w:eastAsia="Times New Roman" w:hAnsi="Times New Roman"/>
          <w:sz w:val="18"/>
          <w:szCs w:val="18"/>
          <w:color w:val="auto"/>
        </w:rPr>
        <w:t xml:space="preserve"> (the sum of such adjusted Base Prices, in the aggregate,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Upon the terms and subject to the conditions hereinafter set forth, in consideration of the delivery by Seller of the Acquired Interests, Purchaser shall pay to Seller the amounts described in clauses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Purchase Price Payments</w:t>
      </w:r>
      <w:r>
        <w:rPr>
          <w:rFonts w:ascii="Times New Roman" w:cs="Times New Roman" w:eastAsia="Times New Roman" w:hAnsi="Times New Roman"/>
          <w:sz w:val="18"/>
          <w:szCs w:val="18"/>
          <w:color w:val="auto"/>
        </w:rPr>
        <w:t>”), at the times specified therein, in each case, by wire transfer of immediately available funds to the applicable TE HoldCo Account for application in accordance with Section 7.5(a) of the Financing Agreement, or to such other account or accounts as designated by Seller, in accordance with written notice delivered by Seller to Purchaser not less than two (2) Business Days prior to the date such Purchase Price Payment is required to be made:</w:t>
      </w:r>
    </w:p>
    <w:p>
      <w:pPr>
        <w:spacing w:after="0" w:line="183"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at the Closing, Purchaser shall pay to Seller an amount equal to twenty percent (20%) of the Base Price in respect of the First Funded Project (the “</w:t>
      </w:r>
      <w:r>
        <w:rPr>
          <w:rFonts w:ascii="Times New Roman" w:cs="Times New Roman" w:eastAsia="Times New Roman" w:hAnsi="Times New Roman"/>
          <w:sz w:val="18"/>
          <w:szCs w:val="18"/>
          <w:i w:val="1"/>
          <w:iCs w:val="1"/>
          <w:color w:val="auto"/>
        </w:rPr>
        <w:t>First Project MC Payment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no later than the Second Project MC Funding Date, Purchaser shall pay to Seller a dollar amount equal to twenty percent (20%) of the Base Price in respect of the Second Funded Project (the “</w:t>
      </w:r>
      <w:r>
        <w:rPr>
          <w:rFonts w:ascii="Times New Roman" w:cs="Times New Roman" w:eastAsia="Times New Roman" w:hAnsi="Times New Roman"/>
          <w:sz w:val="18"/>
          <w:szCs w:val="18"/>
          <w:i w:val="1"/>
          <w:iCs w:val="1"/>
          <w:color w:val="auto"/>
        </w:rPr>
        <w:t>Second Project MC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Second Project MC Payment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no later than the First Project SC Funding Date, Purchaser shall pay to Seller a dollar amount equal to (i) the Base Price in respect of the First Funded Project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First Project MC Payment (the “</w:t>
      </w:r>
      <w:r>
        <w:rPr>
          <w:rFonts w:ascii="Times New Roman" w:cs="Times New Roman" w:eastAsia="Times New Roman" w:hAnsi="Times New Roman"/>
          <w:sz w:val="18"/>
          <w:szCs w:val="18"/>
          <w:i w:val="1"/>
          <w:iCs w:val="1"/>
          <w:color w:val="auto"/>
        </w:rPr>
        <w:t>First Project SC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First Project SC Payment Date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no later than the Second Project SC Funding Date, Purchaser shall pay to Seller a dollar amount equal to (i) the Base Price in respect of the Second Funded Project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Second Project MC Payment (the “</w:t>
      </w:r>
      <w:r>
        <w:rPr>
          <w:rFonts w:ascii="Times New Roman" w:cs="Times New Roman" w:eastAsia="Times New Roman" w:hAnsi="Times New Roman"/>
          <w:sz w:val="18"/>
          <w:szCs w:val="18"/>
          <w:i w:val="1"/>
          <w:iCs w:val="1"/>
          <w:color w:val="auto"/>
        </w:rPr>
        <w:t>Second Project SC Payment</w:t>
      </w:r>
      <w:r>
        <w:rPr>
          <w:rFonts w:ascii="Times New Roman" w:cs="Times New Roman" w:eastAsia="Times New Roman" w:hAnsi="Times New Roman"/>
          <w:sz w:val="18"/>
          <w:szCs w:val="18"/>
          <w:color w:val="auto"/>
        </w:rPr>
        <w:t>” and the date such payment becomes due and payable, the “</w:t>
      </w:r>
      <w:r>
        <w:rPr>
          <w:rFonts w:ascii="Times New Roman" w:cs="Times New Roman" w:eastAsia="Times New Roman" w:hAnsi="Times New Roman"/>
          <w:sz w:val="18"/>
          <w:szCs w:val="18"/>
          <w:i w:val="1"/>
          <w:iCs w:val="1"/>
          <w:color w:val="auto"/>
        </w:rPr>
        <w:t>Second Project SC Payment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For the avoidance of doubt, on the earlier of the “Discharge Date” and the applicable “Term Conversion Date” (in each case, as defined in the Financing Agreement) in respect of a Project, the Parties agree that any amounts remaining on deposit in the TE Holdco Account in respect of such Project, as contemplated by Section 7.5(a)(ii)(C) of the Financing Agreement, shall be promptly transferred to Seller (or its designee).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w:t>
      </w:r>
      <w:r>
        <w:rPr>
          <w:rFonts w:ascii="Times New Roman" w:cs="Times New Roman" w:eastAsia="Times New Roman" w:hAnsi="Times New Roman"/>
          <w:sz w:val="18"/>
          <w:szCs w:val="18"/>
          <w:b w:val="1"/>
          <w:bCs w:val="1"/>
          <w:i w:val="1"/>
          <w:iCs w:val="1"/>
          <w:color w:val="auto"/>
        </w:rPr>
        <w:t>Closing; Additional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the following shall occur:</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Purchaser shall pay the First Project MC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Each Party shall deliver, or cause to be delivered, to the other Party the certificates and other deliverables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On each of the Second Project MC Funding Date, the First Project SC Funding Date and the Second Project SC Funding Date, Purchaser shall pay the Second Project MC Payment, the First Project SC Payment and the Second Project SC Payment, respectively, in each case, by wire transfer of immediately available funds to the account or accounts as designated by Seller in writing pursuant to clause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2.04.        </w:t>
      </w:r>
      <w:r>
        <w:rPr>
          <w:rFonts w:ascii="Times New Roman" w:cs="Times New Roman" w:eastAsia="Times New Roman" w:hAnsi="Times New Roman"/>
          <w:sz w:val="18"/>
          <w:szCs w:val="18"/>
          <w:b w:val="1"/>
          <w:bCs w:val="1"/>
          <w:i w:val="1"/>
          <w:iCs w:val="1"/>
          <w:color w:val="auto"/>
        </w:rPr>
        <w:t>Adjusted Purchase Price Amount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of the Second Project SC Payment Date:</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if the Adjusted Purchase Price Amount is positive, then, no later than ten (10) Business Days following the Second Project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spacing w:after="0" w:line="180" w:lineRule="exact"/>
        <w:rPr>
          <w:sz w:val="20"/>
          <w:szCs w:val="20"/>
          <w:color w:val="auto"/>
        </w:rPr>
      </w:pPr>
    </w:p>
    <w:p>
      <w:pPr>
        <w:jc w:val="both"/>
        <w:ind w:left="660" w:right="20" w:firstLine="1296"/>
        <w:spacing w:after="0" w:line="261" w:lineRule="auto"/>
        <w:rPr>
          <w:sz w:val="20"/>
          <w:szCs w:val="20"/>
          <w:color w:val="auto"/>
        </w:rPr>
      </w:pPr>
      <w:r>
        <w:rPr>
          <w:rFonts w:ascii="Times New Roman" w:cs="Times New Roman" w:eastAsia="Times New Roman" w:hAnsi="Times New Roman"/>
          <w:sz w:val="18"/>
          <w:szCs w:val="18"/>
          <w:color w:val="auto"/>
        </w:rPr>
        <w:t>(ii)            if the Adjusted Purchase Price Amount is negative, then, no later than ten (10) Business Days following the Second Project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spacing w:after="0" w:line="17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 xml:space="preserve">(b)            Any payments made under this </w:t>
      </w:r>
      <w:r>
        <w:rPr>
          <w:rFonts w:ascii="Times New Roman" w:cs="Times New Roman" w:eastAsia="Times New Roman" w:hAnsi="Times New Roman"/>
          <w:sz w:val="18"/>
          <w:szCs w:val="18"/>
          <w:i w:val="1"/>
          <w:iCs w:val="1"/>
          <w:color w:val="auto"/>
        </w:rPr>
        <w:t>Section 2.04</w:t>
      </w:r>
      <w:r>
        <w:rPr>
          <w:rFonts w:ascii="Times New Roman" w:cs="Times New Roman" w:eastAsia="Times New Roman" w:hAnsi="Times New Roman"/>
          <w:sz w:val="18"/>
          <w:szCs w:val="18"/>
          <w:color w:val="auto"/>
        </w:rPr>
        <w:t xml:space="preserve"> will be treated as an adjustment to the applicable Base Price for Tax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2.05.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in the event that any time following the Closing Date, Purchaser (if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receives any such payment separately and not from any Acquired Company) or any Acquired Company receives any payment with respect to:</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any liquidated damages received in connection with the development, design, construction, installation or commissioning of a Project through “Substantial Completion” thereof (as such term is defined in the EPC Contract in respect of such Project), and that are not contemplated to be receivable by any Acquired Company in the Base Case Model in respect of such Project, including liquidated damages received as a deduction or as a setoff from amounts otherwise payable by the applicable Project Company under any contract to which it is party;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with respect to a Project, provided that term conversion in respect of such Project has occurred, (i) the proceeds of any loan in respect of such Project drawn under the Financing Documents on or prior to the date that is six (6) months after the Project SC Funding Date in respect of such Project, (ii) any proceeds received under the Tax Equity Documents in respect of such Project on or prior to the date that is six (6) months after the Project SC Funding Date in respect of such Project, or (iii) any proceeds received under any “Interest Rate Agreement” (as defined in the Financing Agreement) by any Acquired Company in respect of such Project, which proceeds relate to the breakage or other termination of any such Interest Rate Agreement in connection with the term conversion or full repayment of the loans, in each case, in respect of such Project, under the Financing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with respect to a Project, upon the occurrence of the earlier of (i) the “Discharge Date” (as defined in the Financing Agreement), and (ii) the “Term Conversion Date” (as defined in the Financing Agreement), in each case, in respect of such Project, all amounts remaining on deposit in the TE Holdco Account in respect of such Project;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to the extent not already included in any Base Case Model, any amount received by any Acquired Company in respect of the reimbursement for any cost or expense incurred by or on behalf of such Acquired Company in connection with the development, design, construction, installation or commissioning of a Project through “Substantial Completion” thereof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any amounts released from any completion escrow account, or otherwise from reserves, in each case, funded by or on behalf of Seller or, prior to the Closing, any Acquired Company;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extent not already included in the Base Case Model in respect of a Project, net proceeds from the sale of all test energy generated (i) prior to Closing, to the extent such Project is the First Funded Project, or (ii) prior to the Second Project MC Funding Date, to the extent such Project is the Second Funded Project;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any amounts released from any completion escrow account funded by or on behalf of Seller or, prior to the Closing, any Acquired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any other amounts described in any of clauses (i) through (vi) of Section 5.07(a) of the A&amp;R LLCA,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each case, Purchaser shall cause the applicable Acquired Company to promptly refund or pay such amount to Seller or its designee (or otherwise at the times and in the manner as specified in Section 5.07 of the A&amp;R LLCA).</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2.06.       </w:t>
      </w:r>
      <w:r>
        <w:rPr>
          <w:rFonts w:ascii="Times New Roman" w:cs="Times New Roman" w:eastAsia="Times New Roman" w:hAnsi="Times New Roman"/>
          <w:sz w:val="18"/>
          <w:szCs w:val="18"/>
          <w:b w:val="1"/>
          <w:bCs w:val="1"/>
          <w:i w:val="1"/>
          <w:iCs w:val="1"/>
          <w:color w:val="auto"/>
        </w:rPr>
        <w:t>Tax Reporting of Transaction</w:t>
      </w:r>
      <w:r>
        <w:rPr>
          <w:rFonts w:ascii="Times New Roman" w:cs="Times New Roman" w:eastAsia="Times New Roman" w:hAnsi="Times New Roman"/>
          <w:sz w:val="18"/>
          <w:szCs w:val="18"/>
          <w:color w:val="auto"/>
        </w:rPr>
        <w:t>. For federal income tax purposes, the Parties agree to report the transactions effectuated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Immediately prior to the Closing and the first Project MC Funding,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The Parties acknowledge that for U.S. federal, and applicable state and local income Tax purposes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purchase and sale of the Acquired Interests contemplated by this Agreement will be treated, in accordance with Revenue Ruling 99-5, Situation (1), as a sale by Seller and a purchase by Purchaser of a portion of the Class B membership interests in the TE Holdco followed by a contribution pursuant to Section 721 of the Code by each of Purchaser and Seller of their respective portions of the Class B membership interests in the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Seller Distribution shall be disregarded for U.S. federal income tax purposes.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 (the “</w:t>
      </w:r>
      <w:r>
        <w:rPr>
          <w:rFonts w:ascii="Times New Roman" w:cs="Times New Roman" w:eastAsia="Times New Roman" w:hAnsi="Times New Roman"/>
          <w:sz w:val="18"/>
          <w:szCs w:val="18"/>
          <w:i w:val="1"/>
          <w:iCs w:val="1"/>
          <w:color w:val="auto"/>
        </w:rPr>
        <w:t>Allocation Schedule</w:t>
      </w:r>
      <w:r>
        <w:rPr>
          <w:rFonts w:ascii="Times New Roman" w:cs="Times New Roman" w:eastAsia="Times New Roman" w:hAnsi="Times New Roman"/>
          <w:sz w:val="18"/>
          <w:szCs w:val="18"/>
          <w:color w:val="auto"/>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Times New Roman" w:cs="Times New Roman" w:eastAsia="Times New Roman" w:hAnsi="Times New Roman"/>
          <w:sz w:val="18"/>
          <w:szCs w:val="18"/>
          <w:i w:val="1"/>
          <w:iCs w:val="1"/>
          <w:color w:val="auto"/>
        </w:rPr>
        <w:t>Section 2.06(c)</w:t>
      </w:r>
      <w:r>
        <w:rPr>
          <w:rFonts w:ascii="Times New Roman" w:cs="Times New Roman" w:eastAsia="Times New Roman" w:hAnsi="Times New Roman"/>
          <w:sz w:val="18"/>
          <w:szCs w:val="18"/>
          <w:color w:val="auto"/>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Upon the making of the initial capital contribution to be made by the Tax Equity Investor to the TE HoldCo in respect of the First Funded Project, and the issuance to the Tax Equity Investor of the Class A membership interests in the TE HoldCo pursuant to the Tax Equity ECCA on the Project MC Funding Date in respect of the First Funded Project, and the making of the capital contribution to be made by the Class B HoldCo in respect of the First Funded Project to the TE HoldCo, which shall be deemed to occur prior to the Closing, in accordance with Revenue Ruling 99-5, Situation 2, each of Seller and the Tax Equity Investor is treated as contributing cash or property to the TE Holdco in respect of the First Funded Project in exchange for an interest in the TE HoldCo, as a result of which the TE HoldCo shall become a partnership between Seller and the Tax Equity Investor for U.S. federal income tax purposes; and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On the date of the Project MC Funding in respect of each Project, the TE HoldCo will acquire, and the Project HoldCo will sell, all the limited liability company membership interests of the applicable Pledgor Company that indirectly owns the such Project (and, indirectly, all the limited liability company interests in the applicable Project Company that directly owns such Project).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3.01.       </w:t>
      </w: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r>
        <w:rPr>
          <w:rFonts w:ascii="Times New Roman" w:cs="Times New Roman" w:eastAsia="Times New Roman" w:hAnsi="Times New Roman"/>
          <w:sz w:val="18"/>
          <w:szCs w:val="18"/>
          <w:color w:val="auto"/>
        </w:rPr>
        <w:t>. Seller hereby represents and warrants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color w:val="auto"/>
        </w:rPr>
        <w:t>No Conflicts</w:t>
      </w:r>
      <w:r>
        <w:rPr>
          <w:rFonts w:ascii="Times New Roman" w:cs="Times New Roman" w:eastAsia="Times New Roman" w:hAnsi="Times New Roman"/>
          <w:sz w:val="17"/>
          <w:szCs w:val="17"/>
          <w:color w:val="auto"/>
        </w:rPr>
        <w:t>. The execution, delivery and performance of this Agreement and the other Transaction Documents by Seller does not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the Constitutive Documents of Seller or any Acquired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 to which Seller, or any Company Contract to which any Acquired Company,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Interests, any equity interests of any Acquired Company or any assets or properties of any Acquired Company;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any party the right to accelerate or modify, the time within which, or the terms under which, any duties or obligations are to be performed by Seller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Acquired Company or any rights or benefits are to be received by any Person, under any Contract to which Seller or any Acquired Company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 Governmental Approval is required on the part of Seller or any Acquired Company in connection with the execution, delivery and performance of this Agreement or the consummation of the transactions contemplated by this Agreement.</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color w:val="auto"/>
        </w:rPr>
        <w:t xml:space="preserve"> of the Disclosure Schedules, and except for Actions or Proceedings 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Execution Date against Seller or any Acquired Company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color w:val="auto"/>
        </w:rPr>
        <w:t xml:space="preserve"> of the Disclosure Schedules, no Person has any claim against Seller or any Acquired Company for a finder’s fee, brokerage commission or similar payment directly or indirectly in connection with the transactions contemplated by this Agreement.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None of Seller nor any Acquired Company has received notice from any Governmental Authority of any material violation of any material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44"/>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Company and the Acquired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 w:cs="Times New Roman" w:eastAsia="Times New Roman" w:hAnsi="Times New Roman"/>
          <w:sz w:val="18"/>
          <w:szCs w:val="18"/>
          <w:i w:val="1"/>
          <w:iCs w:val="1"/>
          <w:color w:val="auto"/>
        </w:rPr>
        <w:t xml:space="preserve">Schedule 3.01(i) </w:t>
      </w:r>
      <w:r>
        <w:rPr>
          <w:rFonts w:ascii="Times New Roman" w:cs="Times New Roman" w:eastAsia="Times New Roman" w:hAnsi="Times New Roman"/>
          <w:sz w:val="18"/>
          <w:szCs w:val="18"/>
          <w:color w:val="auto"/>
        </w:rPr>
        <w:t>of the Disclosure Schedules, which are the only jurisdictions in which the ownership, use or leasing of such Acquired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spacing w:after="0" w:line="187"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            All of the issued and outstanding Acquired Interests are owned directly, beneficially and of record by Seller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 Acquired Companies have been duly authorized, validly issued and are fully paid and non-assessable and have been issued in compliance with federal and state securities laws.</w:t>
      </w:r>
    </w:p>
    <w:p>
      <w:pPr>
        <w:spacing w:after="0" w:line="192" w:lineRule="exact"/>
        <w:rPr>
          <w:sz w:val="20"/>
          <w:szCs w:val="20"/>
          <w:color w:val="auto"/>
        </w:rPr>
      </w:pPr>
    </w:p>
    <w:p>
      <w:pPr>
        <w:jc w:val="both"/>
        <w:ind w:left="4"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 name of each director and officer (or similar positions) of each Acquired Company, and the position with such Acquired Company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62"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(iv)           Seller has, prior to the execution of this Agreement, delivered to Purchaser true and complete copies of the Constitutive Documents of each Acquired Company as in effect on the Execution Date.</w:t>
      </w:r>
    </w:p>
    <w:p>
      <w:pPr>
        <w:spacing w:after="0" w:line="160" w:lineRule="exact"/>
        <w:rPr>
          <w:sz w:val="20"/>
          <w:szCs w:val="20"/>
          <w:color w:val="auto"/>
        </w:rPr>
      </w:pPr>
    </w:p>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           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set forth in any Tax Equity Agreement, any Financing Document or the Constitutive Documents of any Acquired Company,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as provided pursuant to this Agreement,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as set forth in Part II of </w:t>
      </w:r>
      <w:r>
        <w:rPr>
          <w:rFonts w:ascii="Times New Roman" w:cs="Times New Roman" w:eastAsia="Times New Roman" w:hAnsi="Times New Roman"/>
          <w:sz w:val="18"/>
          <w:szCs w:val="18"/>
          <w:i w:val="1"/>
          <w:iCs w:val="1"/>
          <w:color w:val="auto"/>
        </w:rPr>
        <w:t>Schedule 3.01(i)</w:t>
      </w:r>
    </w:p>
    <w:p>
      <w:pPr>
        <w:spacing w:after="0" w:line="1" w:lineRule="exact"/>
        <w:rPr>
          <w:sz w:val="20"/>
          <w:szCs w:val="20"/>
          <w:color w:val="auto"/>
        </w:rPr>
      </w:pPr>
    </w:p>
    <w:p>
      <w:pPr>
        <w:ind w:left="4" w:right="20" w:hanging="4"/>
        <w:spacing w:after="0" w:line="260" w:lineRule="auto"/>
        <w:tabs>
          <w:tab w:leader="none" w:pos="257"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spacing w:after="0" w:line="179" w:lineRule="exact"/>
        <w:rPr>
          <w:sz w:val="20"/>
          <w:szCs w:val="20"/>
          <w:color w:val="auto"/>
        </w:rPr>
      </w:pPr>
    </w:p>
    <w:p>
      <w:pPr>
        <w:jc w:val="both"/>
        <w:ind w:left="4" w:firstLine="1296"/>
        <w:spacing w:after="0" w:line="284" w:lineRule="auto"/>
        <w:rPr>
          <w:sz w:val="20"/>
          <w:szCs w:val="20"/>
          <w:color w:val="auto"/>
        </w:rPr>
      </w:pPr>
      <w:r>
        <w:rPr>
          <w:rFonts w:ascii="Times New Roman" w:cs="Times New Roman" w:eastAsia="Times New Roman" w:hAnsi="Times New Roman"/>
          <w:sz w:val="18"/>
          <w:szCs w:val="18"/>
          <w:color w:val="auto"/>
        </w:rPr>
        <w:t xml:space="preserve">(vi)           Except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no Acquired Company has any subsidiaries, equity interests, interests in joint ventures or general or limited partnerships or other investment or portfolio assets of a similar nature.</w:t>
      </w:r>
    </w:p>
    <w:p>
      <w:pPr>
        <w:spacing w:after="0" w:line="158" w:lineRule="exact"/>
        <w:rPr>
          <w:sz w:val="20"/>
          <w:szCs w:val="20"/>
          <w:color w:val="auto"/>
        </w:rPr>
      </w:pPr>
    </w:p>
    <w:p>
      <w:pPr>
        <w:jc w:val="both"/>
        <w:ind w:left="4" w:firstLine="1296"/>
        <w:spacing w:after="0" w:line="267" w:lineRule="auto"/>
        <w:rPr>
          <w:sz w:val="20"/>
          <w:szCs w:val="20"/>
          <w:color w:val="auto"/>
        </w:rPr>
      </w:pPr>
      <w:r>
        <w:rPr>
          <w:rFonts w:ascii="Times New Roman" w:cs="Times New Roman" w:eastAsia="Times New Roman" w:hAnsi="Times New Roman"/>
          <w:sz w:val="18"/>
          <w:szCs w:val="18"/>
          <w:color w:val="auto"/>
        </w:rPr>
        <w:t xml:space="preserve">(vii)          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no Acquired Company conducts: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business other than the development, ownership, operation and management of either or both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operations other than those incidental to the ownership, operation, and management of either or both Projects.</w:t>
      </w:r>
    </w:p>
    <w:p>
      <w:pPr>
        <w:spacing w:after="0" w:line="173" w:lineRule="exact"/>
        <w:rPr>
          <w:sz w:val="20"/>
          <w:szCs w:val="20"/>
          <w:color w:val="auto"/>
        </w:rPr>
      </w:pPr>
    </w:p>
    <w:p>
      <w:pPr>
        <w:jc w:val="both"/>
        <w:ind w:left="4" w:firstLine="1296"/>
        <w:spacing w:after="0" w:line="267" w:lineRule="auto"/>
        <w:rPr>
          <w:sz w:val="20"/>
          <w:szCs w:val="20"/>
          <w:color w:val="auto"/>
        </w:rPr>
      </w:pPr>
      <w:r>
        <w:rPr>
          <w:rFonts w:ascii="Times New Roman" w:cs="Times New Roman" w:eastAsia="Times New Roman" w:hAnsi="Times New Roman"/>
          <w:sz w:val="18"/>
          <w:szCs w:val="18"/>
          <w:color w:val="auto"/>
        </w:rPr>
        <w:t>(viii)          The books and records of each Acquired Company are: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state in reasonable detail and accurately and fairly reflect the activities and transactions of such Acquired Company.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2" w:name="page33"/>
    <w:bookmarkEnd w:id="32"/>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             No Acquired Company has any material liability or obligation that would be required to be disclosed on a balance sheet prepared in accordance with GAAP, except for the liabilities and obligations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under the Financing Documents or Tax Equity Agreements;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All of the Indebtedness of each Acquired Company as of the Execution Date, other than Indebtedness under any Financing Document, is listed on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58"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since the date of formation of each Acquired Company, as applicable:</w:t>
      </w:r>
    </w:p>
    <w:p>
      <w:pPr>
        <w:spacing w:after="0" w:line="159"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spacing w:after="0" w:line="18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There are no: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Actions or Proceedings currently pending or threatened in writing against the Acquired Companies or related to their business operations by any Governmental Authority for the assessment or collection of Taxes;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claims for assessment or collection of Taxes that have been asserted in writing against Seller or any Affiliate of Seller with respect to the Acquired Companies (or the income attributable thereto); or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Seller (or, if Seller is a disregarded entity, Seller’s regarded owner for U.S. federal income tax purposes) is not a “foreign person” within the meaning of Code Sections 1445(b)(2) and 1446(f).</w:t>
      </w:r>
    </w:p>
    <w:p>
      <w:pPr>
        <w:spacing w:after="0" w:line="162"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(as defined below) and the Tax Equity Documents).</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           The Target Company has never entered into or been a party to any “reportable transaction,” as defined in Section 1.6011-4(b) of the Treasury Regulations.</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(viii)         Construction on the Projects began prior to January 29, 2023, and therefore the prevailing wage and apprenticeship requirements set forth in Code Section 45(b)(7)(B), Code Section 45(b)(8)(D), and the corresponding provisions in Section 48, 45Y and 48E are not applicable to the Projects.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No Acquired Company has, nor has ever had, any employees or any Liability, actual or contingent, with respect to 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Plan.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right="20" w:firstLine="1296"/>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contains, as of the Execution Date, a true, correct and complete list of all Company Contracts.</w:t>
      </w:r>
    </w:p>
    <w:p>
      <w:pPr>
        <w:spacing w:after="0" w:line="160"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            Seller has provided Purchaser with, or access to, true, correct and complete copies of all the Company Contracts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entered into from and after the Execution Date,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187" w:lineRule="exact"/>
        <w:rPr>
          <w:sz w:val="20"/>
          <w:szCs w:val="20"/>
          <w:color w:val="auto"/>
        </w:rPr>
      </w:pPr>
    </w:p>
    <w:p>
      <w:pPr>
        <w:jc w:val="both"/>
        <w:ind w:left="660" w:right="20" w:firstLine="1296"/>
        <w:spacing w:after="0" w:line="315" w:lineRule="auto"/>
        <w:rPr>
          <w:sz w:val="20"/>
          <w:szCs w:val="20"/>
          <w:color w:val="auto"/>
        </w:rPr>
      </w:pPr>
      <w:r>
        <w:rPr>
          <w:rFonts w:ascii="Times New Roman" w:cs="Times New Roman" w:eastAsia="Times New Roman" w:hAnsi="Times New Roman"/>
          <w:sz w:val="17"/>
          <w:szCs w:val="17"/>
          <w:color w:val="auto"/>
        </w:rPr>
        <w:t xml:space="preserve">(iii)            Except as disclosed on </w:t>
      </w:r>
      <w:r>
        <w:rPr>
          <w:rFonts w:ascii="Times New Roman" w:cs="Times New Roman" w:eastAsia="Times New Roman" w:hAnsi="Times New Roman"/>
          <w:sz w:val="17"/>
          <w:szCs w:val="17"/>
          <w:i w:val="1"/>
          <w:iCs w:val="1"/>
          <w:color w:val="auto"/>
        </w:rPr>
        <w:t>Schedule 3.01(m)(iii)</w:t>
      </w:r>
      <w:r>
        <w:rPr>
          <w:rFonts w:ascii="Times New Roman" w:cs="Times New Roman" w:eastAsia="Times New Roman" w:hAnsi="Times New Roman"/>
          <w:sz w:val="17"/>
          <w:szCs w:val="17"/>
          <w:color w:val="auto"/>
        </w:rPr>
        <w:t xml:space="preserve"> of the Disclosure Schedules, no Acquired Company or, to the Knowledge of Seller, the other parties thereto, is in material violation or material breach of or material default under any Company Contract to which it is a party.</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lists, as of the Execution Date, all Real Property Rights of the Project Companies, the real property in which the Project Companies have Real Property Rights, and appurtenances thereto (all such Real Property Rights, whether at the Execution Date or the Closing Date,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Each Project Company has a good and valid fee,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spacing w:after="0" w:line="182"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no Acquired Company has entered into any assignment, lease, license, sublease, easement or other agreement granting to any Person any right to the possession, use, occupancy or enjoyment of the Land.</w:t>
      </w:r>
    </w:p>
    <w:p>
      <w:pPr>
        <w:spacing w:after="0" w:line="17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in the applicable Title Proforma or in the applicable Title Policy.</w:t>
      </w:r>
    </w:p>
    <w:p>
      <w:pPr>
        <w:spacing w:after="0" w:line="178" w:lineRule="exact"/>
        <w:rPr>
          <w:sz w:val="20"/>
          <w:szCs w:val="20"/>
          <w:color w:val="auto"/>
        </w:rPr>
      </w:pPr>
    </w:p>
    <w:p>
      <w:pPr>
        <w:jc w:val="both"/>
        <w:ind w:left="660"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(iv)           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Acquired Companies to develop, construct, own and operate the Projects.</w:t>
      </w:r>
    </w:p>
    <w:p>
      <w:pPr>
        <w:spacing w:after="0" w:line="158"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(v)            None of Seller or any Acquired Company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3.01(o)</w:t>
      </w:r>
      <w:r>
        <w:rPr>
          <w:rFonts w:ascii="Times New Roman" w:cs="Times New Roman" w:eastAsia="Times New Roman" w:hAnsi="Times New Roman"/>
          <w:sz w:val="18"/>
          <w:szCs w:val="18"/>
          <w:color w:val="auto"/>
        </w:rPr>
        <w:t xml:space="preserve"> of the Disclosure Schedules lists all Real Property Rights insured by the Title Policies (the “</w:t>
      </w:r>
      <w:r>
        <w:rPr>
          <w:rFonts w:ascii="Times New Roman" w:cs="Times New Roman" w:eastAsia="Times New Roman" w:hAnsi="Times New Roman"/>
          <w:sz w:val="18"/>
          <w:szCs w:val="18"/>
          <w:i w:val="1"/>
          <w:iCs w:val="1"/>
          <w:color w:val="auto"/>
        </w:rPr>
        <w:t>Insured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Rights</w:t>
      </w:r>
      <w:r>
        <w:rPr>
          <w:rFonts w:ascii="Times New Roman" w:cs="Times New Roman" w:eastAsia="Times New Roman" w:hAnsi="Times New Roman"/>
          <w:sz w:val="18"/>
          <w:szCs w:val="18"/>
          <w:color w:val="auto"/>
        </w:rPr>
        <w:t>”). As of the Execution Date, Seller has provided to Purchaser a true and correct copy of the Execution Date Title Policies covering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Property Rights. As of the Closing Date, Seller has provided to Purchaser copies of the pro forma Closing Date Endorsements, and true and correct copy of the Title Proformas covering the Insured Property Rights. The Insured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Policies;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 (which consent shall not be unreasonably withheld, conditioned or delayed).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 w:cs="Times New Roman" w:eastAsia="Times New Roman" w:hAnsi="Times New Roman"/>
          <w:sz w:val="18"/>
          <w:szCs w:val="18"/>
          <w:i w:val="1"/>
          <w:iCs w:val="1"/>
          <w:color w:val="auto"/>
        </w:rPr>
        <w:t xml:space="preserve">Schedule 3.01(p)(iii) </w:t>
      </w:r>
      <w:r>
        <w:rPr>
          <w:rFonts w:ascii="Times New Roman" w:cs="Times New Roman" w:eastAsia="Times New Roman" w:hAnsi="Times New Roman"/>
          <w:sz w:val="18"/>
          <w:szCs w:val="18"/>
          <w:color w:val="auto"/>
        </w:rPr>
        <w:t>of the Disclosure Schedules, such Permits have been obtained in a timely manner and are presently maintained in full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 in the name of an Acquired Company.</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(iv)            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spacing w:after="0" w:line="18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6" w:name="page37"/>
    <w:bookmarkEnd w:id="36"/>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is subject to any Action or Proceeding or unsatisfied condition, in each case of clause (A) and (B) which has not been remedied or resolved.</w:t>
      </w:r>
    </w:p>
    <w:p>
      <w:pPr>
        <w:spacing w:after="0" w:line="18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for: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disclosed on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under the 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or (C) entered into following the Execution Date in accordance with the terms of this Agreement;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             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spacing w:after="0" w:line="18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3.01(t) </w:t>
      </w:r>
      <w:r>
        <w:rPr>
          <w:rFonts w:ascii="Times New Roman" w:cs="Times New Roman" w:eastAsia="Times New Roman" w:hAnsi="Times New Roman"/>
          <w:sz w:val="18"/>
          <w:szCs w:val="18"/>
          <w:color w:val="auto"/>
        </w:rPr>
        <w:t>of the Disclosure Schedules to continue in all material respects after the Closing Date. Furthermore, at the expiration of such policies, Seller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aforementioned policies to be renewed with terms substantially identical to those described in the policies above.</w:t>
      </w:r>
    </w:p>
    <w:p>
      <w:pPr>
        <w:spacing w:after="0" w:line="19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Balance Sheets</w:t>
      </w:r>
      <w:r>
        <w:rPr>
          <w:rFonts w:ascii="Times New Roman" w:cs="Times New Roman" w:eastAsia="Times New Roman" w:hAnsi="Times New Roman"/>
          <w:sz w:val="18"/>
          <w:szCs w:val="18"/>
          <w:color w:val="auto"/>
        </w:rPr>
        <w:t>. Seller has previously delivered to Purchaser true, correct and complete copies of the unaudited balance sheets (the “</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of the Acquired Companies, on a stand-alone basis, for the quarter ended September 30, 2025 (the “</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The Balance Sheets: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 in all material respects, the consolidated or stand-alone financial position, as applicable, of the Acquired Companies covered thereby, as of the Balance Sheets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have been prepared from the books and records of the Acquired Companies covered thereby.</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color w:val="auto"/>
        </w:rPr>
        <w:t xml:space="preserve"> of the Disclosure Schedules, between the Balance Sheets Date (except as otherwise indicated in subparagraph (vii) below) and the Execution Date, there has not been:</w:t>
      </w:r>
    </w:p>
    <w:p>
      <w:pPr>
        <w:spacing w:after="0" w:line="159"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any repurchase, redemption or other acquisition of any equity interests of any Acquired Company or any interests convertible into equity interests of any Acquired Company or any other change in the capitalization or ownership of any Acquired Companies;</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any merger of any Acquired Company into or with any other Person, consolidation of any Acquired Company with any other Person or acquisition by any Acquired Company of all or substantially all of the business or assets of any Person;</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any material change in accounting policies or practices (including any change in depreciation or amortization policies) of any Acquired Company, except as required under GAAP;</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inventory and personal property sold or otherwise disposed of in the ordinary course of business;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Permitted Liens;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any event, circumstance, condition or change relating or with respect to any Acquired Company that would reasonably be expected to have, individually or in the aggregate, a Material Adverse Effect.</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color w:val="auto"/>
        </w:rPr>
        <w:t xml:space="preserve">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As of the date each Project Company first delivers test energy, such Project Company shall be an “Exempt Wholesale Generator.” As an Exempt Wholesale Generator, such Project Company shall be exempt from PUHCA to the extent provided for in 18 C.F.R. § 366.7(e), except as otherwise may be applicable under Section 1265 of PUHCA.</w:t>
      </w:r>
    </w:p>
    <w:p>
      <w:pPr>
        <w:spacing w:after="0" w:line="17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As of the date an Acquired Company acquires a direct or indirect equity interest in any Project Company, each such Acquired Company will become a “holding company,” as defined in PUHCA, with respect to its direct or indirect, as applicable, ownership of such Project Company (if such Acquired Company has already acquired an interest in another Project Company and such other Project Company has already delivered test energy and/or already owns energized interconnection facilities) and, therefore, each such Acquired Company is entitled to the exemptions and waivers set forth in 18 C.F.R. § 366.3(a). As of the earlier of the date each Project Company first delivers test energy owns energized interconnection facilities, each Acquired Company that directly or indirectly owns any equity interests in such Project Company will become a “holding company,” as defined in PUHCA, solely with respect to its direct or indirect, as applicable, ownership of such Project Company (unless such Acquired Company has already acquired an interest in another Project Company) and, therefore, each such Acquired Company is entitled to the exemptions and waivers set forth in 18 C.F.R. § 366.3(a). Neither Project Company is a “holding company” as defined under PUHCA.</w:t>
      </w:r>
    </w:p>
    <w:p>
      <w:pPr>
        <w:spacing w:after="0" w:line="194"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As of the Closing Date, Purchaser, solely by virtue of its indirect ownership of each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regulation as a “public utility” under the FPA;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regulation by the CaPUC as a “public utility” or an “electrical corporation.”</w:t>
      </w:r>
    </w:p>
    <w:p>
      <w:pPr>
        <w:spacing w:after="0" w:line="183"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As of the date that each Project Company first delivers test energy, the such Project Company shall be a “public utility” as that term is defined under FPA Section 201(e) and shall have received MBR Authorization. No Acquired Company is subject to regulation by the CaPUC as a “public utility” or, other than such Project Company, an “electrical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(i)             Part 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60"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(ii)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not be required to replace 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Acquired Companies, which are reflected in 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reflect all material payments to be made by the Acquired Companies to Seller or its Affiliates; and (iii) as to operation and maintenance expenses, are consistent in all material respects with Prudent Industry Practices.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There are no bankruptcy, reorganization or receivership proceedings pending against, being contemplated by or, to the Knowledge of Seller, threatened in writing against, Seller or any Acquired Company.</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PROJECTS, THE ACQUIRED COMPANIES, THE ASSETS OF THE ACQUIRED COMPANIES OR THE ACQUIRED INTERESTS.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and warrants to Seller, as of the Execution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color w:val="auto"/>
        </w:rPr>
        <w:t xml:space="preserve">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 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 in the aggregate reasonably be expected to have a material adverse effect on Purchaser’s ability to satisfy its obligations under this Agreement.</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w:t>
      </w:r>
      <w:r>
        <w:rPr>
          <w:rFonts w:ascii="Times New Roman" w:cs="Times New Roman" w:eastAsia="Times New Roman" w:hAnsi="Times New Roman"/>
          <w:sz w:val="18"/>
          <w:szCs w:val="18"/>
          <w:b w:val="1"/>
          <w:bCs w:val="1"/>
          <w:i w:val="1"/>
          <w:iCs w:val="1"/>
          <w:color w:val="auto"/>
        </w:rPr>
        <w:t>Closing Date Conditions Precedent of the Parties</w:t>
      </w:r>
      <w:r>
        <w:rPr>
          <w:rFonts w:ascii="Times New Roman" w:cs="Times New Roman" w:eastAsia="Times New Roman" w:hAnsi="Times New Roman"/>
          <w:sz w:val="18"/>
          <w:szCs w:val="18"/>
          <w:color w:val="auto"/>
        </w:rPr>
        <w:t>. The obligations of each Party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applicable Party), at or before the Closing, by the applicable Party of each of the following conditions: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First Project MC Funding</w:t>
      </w:r>
      <w:r>
        <w:rPr>
          <w:rFonts w:ascii="Times New Roman" w:cs="Times New Roman" w:eastAsia="Times New Roman" w:hAnsi="Times New Roman"/>
          <w:sz w:val="18"/>
          <w:szCs w:val="18"/>
          <w:color w:val="auto"/>
        </w:rPr>
        <w:t>. The MC Funding under the Tax Equity ECCA in respect of the First Funded Project shall have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xml:space="preserve">. All consents of Purchaser specified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all approvals of 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Purchaser; and all Seller Approvals and Seller Consents shall have been obtained by Seller and shall in each case be in full force and effect.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 has or would reasonably be expected to result in a Material Adverse Effect.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Seller Distribution</w:t>
      </w:r>
      <w:r>
        <w:rPr>
          <w:rFonts w:ascii="Times New Roman" w:cs="Times New Roman" w:eastAsia="Times New Roman" w:hAnsi="Times New Roman"/>
          <w:sz w:val="18"/>
          <w:szCs w:val="18"/>
          <w:color w:val="auto"/>
        </w:rPr>
        <w:t>. Simultaneously with the occurrence of the Closing, the Seller Distribution shall occur.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b w:val="1"/>
          <w:bCs w:val="1"/>
          <w:color w:val="auto"/>
        </w:rPr>
        <w:t>TE HoldCo MIPA</w:t>
      </w:r>
      <w:r>
        <w:rPr>
          <w:rFonts w:ascii="Times New Roman" w:cs="Times New Roman" w:eastAsia="Times New Roman" w:hAnsi="Times New Roman"/>
          <w:sz w:val="17"/>
          <w:szCs w:val="17"/>
          <w:color w:val="auto"/>
        </w:rPr>
        <w:t>. The “Closing” (under and as defined in the TE HoldCo MIPA) in respect of the First Funded Project shall have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4.02.       </w:t>
      </w:r>
      <w:r>
        <w:rPr>
          <w:rFonts w:ascii="Times New Roman" w:cs="Times New Roman" w:eastAsia="Times New Roman" w:hAnsi="Times New Roman"/>
          <w:sz w:val="18"/>
          <w:szCs w:val="18"/>
          <w:b w:val="1"/>
          <w:bCs w:val="1"/>
          <w:i w:val="1"/>
          <w:iCs w:val="1"/>
          <w:color w:val="auto"/>
        </w:rPr>
        <w:t>Closing Date Conditions Precedent of the Purchaser</w:t>
      </w:r>
      <w:r>
        <w:rPr>
          <w:rFonts w:ascii="Times New Roman" w:cs="Times New Roman" w:eastAsia="Times New Roman" w:hAnsi="Times New Roman"/>
          <w:sz w:val="18"/>
          <w:szCs w:val="18"/>
          <w:color w:val="auto"/>
        </w:rPr>
        <w:t>. The obligations of the Purchaser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(or waiver by the Purchaser), at or before the Closing, by the applicable Party of each of the following conditions: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 before the Closing Date have been duly performed or complied with in all material respects.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(and the Target Company’s) sole right if Seller fails to provide such IRS Form W-9 shall be to make appropriate withholdings under Sections 1445 and 1446 of the Code.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 commitment by the Title Company to issue the Closing Date Endorsements;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copies of all recorded documents referred to, or listed as exceptions to title in, the Closing Date Endorsements.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Seller Parent shall have executed and delivered the A&amp;R LLCA.</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Seller Guaranties (First Funded Project)</w:t>
      </w:r>
      <w:r>
        <w:rPr>
          <w:rFonts w:ascii="Times New Roman" w:cs="Times New Roman" w:eastAsia="Times New Roman" w:hAnsi="Times New Roman"/>
          <w:sz w:val="18"/>
          <w:szCs w:val="18"/>
          <w:color w:val="auto"/>
        </w:rPr>
        <w:t xml:space="preserve">. Simultaneously with or prior to the Closing, Seller Parent shall have executed, and delivered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Seller Tax Equity Guaranty in respect of the First Funded Project,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Seller Cash Diversion Guaranty in respect of the First Funded Project,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Tax Credit Purchaser, the Seller Tax Credit Transfer Guaranty in respect of the First Funded Project, if applicable.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4.03.       </w:t>
      </w:r>
      <w:r>
        <w:rPr>
          <w:rFonts w:ascii="Times New Roman" w:cs="Times New Roman" w:eastAsia="Times New Roman" w:hAnsi="Times New Roman"/>
          <w:sz w:val="18"/>
          <w:szCs w:val="18"/>
          <w:b w:val="1"/>
          <w:bCs w:val="1"/>
          <w:i w:val="1"/>
          <w:iCs w:val="1"/>
          <w:color w:val="auto"/>
        </w:rPr>
        <w:t>Closing Date Conditions Precedent of the Seller</w:t>
      </w:r>
      <w:r>
        <w:rPr>
          <w:rFonts w:ascii="Times New Roman" w:cs="Times New Roman" w:eastAsia="Times New Roman" w:hAnsi="Times New Roman"/>
          <w:sz w:val="18"/>
          <w:szCs w:val="18"/>
          <w:color w:val="auto"/>
        </w:rPr>
        <w:t>. The obligations of the Seller to consummate the Closing are subject to the fulfillment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by the Seller), at or before the Closing, by the applicable Party of each of the following conditions:</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 Purchaser at or before the Closing Date have been duly performed or complied with in all material respects.</w:t>
      </w:r>
    </w:p>
    <w:p>
      <w:pPr>
        <w:spacing w:after="0" w:line="15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Purchaser shall have delivered to Seller: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Purchaser shall have executed and delivered the A&amp;R LLCA.</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Purchaser Guaranties (First Funded Project)</w:t>
      </w:r>
      <w:r>
        <w:rPr>
          <w:rFonts w:ascii="Times New Roman" w:cs="Times New Roman" w:eastAsia="Times New Roman" w:hAnsi="Times New Roman"/>
          <w:sz w:val="18"/>
          <w:szCs w:val="18"/>
          <w:color w:val="auto"/>
        </w:rPr>
        <w:t xml:space="preserve">. Simultaneously with or prior to the Closing, Purchaser Parent shall have executed, and delivered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Purchaser Tax Equity Guaranty in respect of the First Funded Project,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Purchaser Cash Diversion Guaranty in respect of the First Funded Project,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Tax Credit Purchaser, the Purchaser Tax Credit Transfer Guaranty in respect of the First Funded Project, if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Following the Execution Date, Seller shall, or shall cause the Acquired Companies to,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Acquired Companies or their properties without the prior written consent of Seller.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5.03.        </w:t>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to deliver to Purchaser, not later than ten (10)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w:t>
      </w:r>
    </w:p>
    <w:p>
      <w:pPr>
        <w:spacing w:after="0" w:line="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with respect to such item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updates shall not give rise to any right of indemnification to the extent such updates are solely to reflect the execution of any Tax Equity Document pursuant to and in accordance with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5.04.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During the Interim Period,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Seller shall cause each Acquired Company to operate and carry on its business in the ordinary course and substantially as operated prior to the Execution Date. Without limiting the foregoing,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as would not be reasonably likely to cause a Major Project Change (with respect to clauses (F), (G), (I), and (N)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each Acquired Company not to:</w:t>
      </w:r>
    </w:p>
    <w:p>
      <w:pPr>
        <w:spacing w:after="0" w:line="182"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(A)            transfer any of the Acquired Interests to any Person or create or suffer to exist any Lien upon the Acquired Interests other than the Permitted Equity Encumbrances;</w:t>
      </w:r>
    </w:p>
    <w:p>
      <w:pPr>
        <w:spacing w:after="0" w:line="162" w:lineRule="exact"/>
        <w:rPr>
          <w:sz w:val="20"/>
          <w:szCs w:val="20"/>
          <w:color w:val="auto"/>
        </w:rPr>
      </w:pPr>
    </w:p>
    <w:p>
      <w:pPr>
        <w:jc w:val="both"/>
        <w:ind w:left="1300" w:firstLine="1296"/>
        <w:spacing w:after="0" w:line="256" w:lineRule="auto"/>
        <w:rPr>
          <w:sz w:val="20"/>
          <w:szCs w:val="20"/>
          <w:color w:val="auto"/>
        </w:rPr>
      </w:pPr>
      <w:r>
        <w:rPr>
          <w:rFonts w:ascii="Times New Roman" w:cs="Times New Roman" w:eastAsia="Times New Roman" w:hAnsi="Times New Roman"/>
          <w:sz w:val="18"/>
          <w:szCs w:val="18"/>
          <w:color w:val="auto"/>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applicable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any of clauses (i) through (vi) of Section 5.07(a) of the A&amp;R LLCA;</w:t>
      </w:r>
    </w:p>
    <w:p>
      <w:pPr>
        <w:spacing w:after="0" w:line="183"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(D)            take any action or enter into any commitment with respect to or in contemplation of any liquidation, dissolution, recapitalization, reorganization or other winding up of business or operations;</w:t>
      </w:r>
    </w:p>
    <w:p>
      <w:pPr>
        <w:spacing w:after="0" w:line="162"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(E)            open or establish any new accounts with financial institutions, other than as required by any Financing Document or Tax Equity Agreement;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(F)            make any material change in its business or operations, except such changes as may be required to comply with any applicable Law;</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auto"/>
        </w:rPr>
        <w:t>(G)            make any material capital expenditures (or enter into any Contracts in respect of material capital expenditures) other than as contemplated by the Company Contracts or any Tax Equity Agreement;</w:t>
      </w:r>
    </w:p>
    <w:p>
      <w:pPr>
        <w:spacing w:after="0" w:line="1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(H)            merge any Acquired Company into or with any other Person or consolidate any Acquired Company with 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Person;</w:t>
      </w:r>
    </w:p>
    <w:p>
      <w:pPr>
        <w:spacing w:after="0" w:line="207"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auto"/>
        </w:rPr>
        <w:t>(I)            enter into any Contract for the purchase of real property or any interests therein, other than as contemplated by any Tax Equity Agreement;</w:t>
      </w:r>
    </w:p>
    <w:p>
      <w:pPr>
        <w:spacing w:after="0" w:line="162"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spacing w:after="0" w:line="176"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(K)            sell, lease (as lessor), transfer or otherwise dispose of (including any transfers to any of its Affiliates), or mortgage or pledge, or impose or suffer to be imposed any Lien on, any of its assets or properties, other than: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inventory and personal property sold or otherwise disposed of in the ordinary course of business;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Permitted Liens; or (3) as contemplated by any Financing Document or Tax Equity Agreement;</w:t>
      </w:r>
    </w:p>
    <w:p>
      <w:pPr>
        <w:spacing w:after="0" w:line="180"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auto"/>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6" w:name="page47"/>
    <w:bookmarkEnd w:id="46"/>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(M)            make any loans or advances to any Person (other than another Acquired Company), except in the ordinary course of business consistent with past practice;</w:t>
      </w:r>
    </w:p>
    <w:p>
      <w:pPr>
        <w:spacing w:after="0" w:line="162" w:lineRule="exact"/>
        <w:rPr>
          <w:sz w:val="20"/>
          <w:szCs w:val="20"/>
          <w:color w:val="auto"/>
        </w:rPr>
      </w:pPr>
    </w:p>
    <w:p>
      <w:pPr>
        <w:jc w:val="both"/>
        <w:ind w:left="1300" w:firstLine="1296"/>
        <w:spacing w:after="0" w:line="289" w:lineRule="auto"/>
        <w:rPr>
          <w:sz w:val="20"/>
          <w:szCs w:val="20"/>
          <w:color w:val="auto"/>
        </w:rPr>
      </w:pPr>
      <w:r>
        <w:rPr>
          <w:rFonts w:ascii="Times New Roman" w:cs="Times New Roman" w:eastAsia="Times New Roman" w:hAnsi="Times New Roman"/>
          <w:sz w:val="17"/>
          <w:szCs w:val="17"/>
          <w:color w:val="auto"/>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58"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auto"/>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spacing w:after="0" w:line="180"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spacing w:after="0" w:line="176" w:lineRule="exact"/>
        <w:rPr>
          <w:sz w:val="20"/>
          <w:szCs w:val="20"/>
          <w:color w:val="auto"/>
        </w:rPr>
      </w:pPr>
    </w:p>
    <w:p>
      <w:pPr>
        <w:jc w:val="both"/>
        <w:ind w:left="1300" w:firstLine="1296"/>
        <w:spacing w:after="0" w:line="256" w:lineRule="auto"/>
        <w:rPr>
          <w:sz w:val="20"/>
          <w:szCs w:val="20"/>
          <w:color w:val="auto"/>
        </w:rPr>
      </w:pPr>
      <w:r>
        <w:rPr>
          <w:rFonts w:ascii="Times New Roman" w:cs="Times New Roman" w:eastAsia="Times New Roman" w:hAnsi="Times New Roman"/>
          <w:sz w:val="18"/>
          <w:szCs w:val="18"/>
          <w:color w:val="auto"/>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spacing w:after="0" w:line="187"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(R)            pay, discharge, settle or satisfy any claims, liabilities or obligations prior to the same being due in excess of $50,000 in the aggregate other than as due and payable in the ordinary course under material Contracts;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            hire any employees or adopt any Employee Plans;</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            except as contemplated pursuant to any Tax Equity Agreement, enter into any joint venture;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(U)            fail to maintain insurance coverage substantially equivalent to its insurance coverage as in effect on the date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hereof; or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(V)            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condition to the obligations of the other Party contained in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5.07.        </w:t>
      </w:r>
      <w:r>
        <w:rPr>
          <w:rFonts w:ascii="Times New Roman" w:cs="Times New Roman" w:eastAsia="Times New Roman" w:hAnsi="Times New Roman"/>
          <w:sz w:val="18"/>
          <w:szCs w:val="18"/>
          <w:b w:val="1"/>
          <w:bCs w:val="1"/>
          <w:i w:val="1"/>
          <w:iCs w:val="1"/>
          <w:color w:val="auto"/>
        </w:rPr>
        <w:t>Purchaser’s Substitute Support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(collectively,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With respect to (i) each Support Obligation set forth in Part 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that relates to the First Funded Project (as so identified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3.01(y) </w:t>
      </w:r>
      <w:r>
        <w:rPr>
          <w:rFonts w:ascii="Times New Roman" w:cs="Times New Roman" w:eastAsia="Times New Roman" w:hAnsi="Times New Roman"/>
          <w:sz w:val="18"/>
          <w:szCs w:val="18"/>
          <w:color w:val="auto"/>
        </w:rPr>
        <w:t>of the Disclosure Schedules) (the “</w:t>
      </w:r>
      <w:r>
        <w:rPr>
          <w:rFonts w:ascii="Times New Roman" w:cs="Times New Roman" w:eastAsia="Times New Roman" w:hAnsi="Times New Roman"/>
          <w:sz w:val="18"/>
          <w:szCs w:val="18"/>
          <w:i w:val="1"/>
          <w:iCs w:val="1"/>
          <w:color w:val="auto"/>
        </w:rPr>
        <w:t>First Project Support Obligations</w:t>
      </w:r>
      <w:r>
        <w:rPr>
          <w:rFonts w:ascii="Times New Roman" w:cs="Times New Roman" w:eastAsia="Times New Roman" w:hAnsi="Times New Roman"/>
          <w:sz w:val="18"/>
          <w:szCs w:val="18"/>
          <w:color w:val="auto"/>
        </w:rPr>
        <w:t>”), and (ii) each Support Obligation set forth in Part I of</w:t>
      </w:r>
      <w:r>
        <w:rPr>
          <w:rFonts w:ascii="Times New Roman" w:cs="Times New Roman" w:eastAsia="Times New Roman" w:hAnsi="Times New Roman"/>
          <w:sz w:val="18"/>
          <w:szCs w:val="18"/>
          <w:i w:val="1"/>
          <w:iCs w:val="1"/>
          <w:color w:val="auto"/>
        </w:rPr>
        <w:t xml:space="preserve"> Schedule 3.01(y)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Schedules that relates to the Second Funded Project (as so identified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Second 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from the Execution Date and continuing until the earlier of the termination of this Agreement or the replacement or release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Project Support Obligation and Second Project Support Obligation, Purchaser shall use commercially reasonable efforts to negotiate a replacement of each such Support Obligation (each, 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 with respect to replacement of (x) any First Project Support Obligation shall be no earlier than the Closing Date and (y) any Second Project Support Obligations shall be no earlier than the Second Project MC Funding Date.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if any;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not amend, modify, grant a waiver in respect of, cancel or consent to the termination of any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that a (x) First Project Support Obligation cannot be released, terminated or replaced by Purchaser at or prior to the Closing, (y) or Second Project Support Obligation cannot be released, terminated or replaced by Purchaser at or prior to the Second Project MC Funding Date, or (z) is set forth on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each such Support Obligation.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Retained Support Obligation that is a First Project Support Obligation, after the Closing Date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Retained Support Obligation that is a Second Project Support Obligation, after the Second Project MC Funding Date, and in each case arising out of or relating to the business, operations, properties, assets or obligations of any Acquired Company conducted, existing or arising after the Closing Date or the Second Project MC Funding Date, as applicable, (including as a result of any draw or demand for or making of any payment by Seller or any such Affiliate of Seller under any Retained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diligently continue to seek the release, termination and replacement of such Retained Support Obligation as required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reimburse Seller or its Affiliates (as applicable) for the actual out-of-pocket costs of, and fees paid by, Seller or its Affiliates in maintaining such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Retained Support Obligation that is a First Project Support Obligation, accruing at any time after the Closing Date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Retained Support Obligation that is a Second Project Support Obligation, accruing at any time after the Second Project MC Funding Date, in each case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(i) with respect to any Substitute Support Obligation that replaced a First Project Support Obligation, the Closing, and (ii) with respect to any Substitute Support Obligation that replaced a Second Project Support Obligation, the Second Project MC Funding Date (in each case, including as a result of any draw or demand for or making of any payment by Purchaser or any such Affiliate of Purchaser under any Substitute Support Obligation).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Simultaneously with or prior to the Second Project MC Funding Date, Purchaser shall cause Purchaser Parent to execute, and deliver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Investor, the Purchaser Tax Equity Guaranty in respect of the Second Funded Project,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Administrative Agent, the Purchaser Cash Diversion Guaranty in respect of the Second Funded Project.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5.08.        </w:t>
      </w:r>
      <w:r>
        <w:rPr>
          <w:rFonts w:ascii="Times New Roman" w:cs="Times New Roman" w:eastAsia="Times New Roman" w:hAnsi="Times New Roman"/>
          <w:sz w:val="18"/>
          <w:szCs w:val="18"/>
          <w:b w:val="1"/>
          <w:bCs w:val="1"/>
          <w:i w:val="1"/>
          <w:iCs w:val="1"/>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spacing w:after="0" w:line="16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 audits or examinations with respect to such Tax Returns.</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(g)            Notwithstanding the foregoing, the provisions of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xml:space="preserve"> shall be subject to, and the Seller’s rights pursuant to this </w:t>
      </w:r>
      <w:r>
        <w:rPr>
          <w:rFonts w:ascii="Times New Roman" w:cs="Times New Roman" w:eastAsia="Times New Roman" w:hAnsi="Times New Roman"/>
          <w:sz w:val="18"/>
          <w:szCs w:val="18"/>
          <w:i w:val="1"/>
          <w:iCs w:val="1"/>
          <w:color w:val="auto"/>
        </w:rPr>
        <w:t xml:space="preserve">Section 5.08 </w:t>
      </w:r>
      <w:r>
        <w:rPr>
          <w:rFonts w:ascii="Times New Roman" w:cs="Times New Roman" w:eastAsia="Times New Roman" w:hAnsi="Times New Roman"/>
          <w:sz w:val="18"/>
          <w:szCs w:val="18"/>
          <w:color w:val="auto"/>
        </w:rPr>
        <w:t>shall be limited to the extent inconsistent with, the terms of the Tax Equity Documents and the rights of the parties thereunder.</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or, if earlier, termination of this Agreement, Seller shall not, and shall not authorize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Companies, any of their Affiliates or any of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any Financing Document and the TE HoldCo MIPA)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Acquired Companies;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Acquired Companies;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Acquired Companies’ properties or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5.10.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5.11.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the Seller Parent Guaranty.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5.12.       </w:t>
      </w:r>
      <w:r>
        <w:rPr>
          <w:rFonts w:ascii="Times New Roman" w:cs="Times New Roman" w:eastAsia="Times New Roman" w:hAnsi="Times New Roman"/>
          <w:sz w:val="18"/>
          <w:szCs w:val="18"/>
          <w:b w:val="1"/>
          <w:bCs w:val="1"/>
          <w:i w:val="1"/>
          <w:iCs w:val="1"/>
          <w:color w:val="auto"/>
        </w:rPr>
        <w:t>Tax Equity Agreement; Tax Credit Monetization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As soon as practicable following the Execution Date, Seller shall enter into (or shall cause the Target Company or the applicable Acquired Company to enter into) the Tax Equity ECCA, the TE HoldCo MIPA, any Tax Credit Transfer Agreement and the other Tax Equity Documents to be entered into upon the execution of the Tax Equity Agreements (the execution of the foregoing, the “</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The form and substance of the Tax Equity ECCA,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Purchaser Tax Equity Guaranty,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any Purchaser Tax Credit Transfer Guaranty,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Base Case Model and Tax Equity Model,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the terms and conditions of a “flip” or the allocation or re-allocation of risks and benefits resulting from a Tax Credit Transfer Transaction, and the other commercial terms in this Agreement).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(and any documents delivered pursuant to the Tax Credit Transfer Agreement):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Model,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Reports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Title Proforma.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such amendment shall be subject to the mutual agreement of the Parties pursuant to </w:t>
      </w:r>
      <w:r>
        <w:rPr>
          <w:rFonts w:ascii="Times New Roman" w:cs="Times New Roman" w:eastAsia="Times New Roman" w:hAnsi="Times New Roman"/>
          <w:sz w:val="18"/>
          <w:szCs w:val="18"/>
          <w:i w:val="1"/>
          <w:iCs w:val="1"/>
          <w:color w:val="auto"/>
        </w:rPr>
        <w:t>Section 8.08</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5.13.        </w:t>
      </w:r>
      <w:r>
        <w:rPr>
          <w:rFonts w:ascii="Times New Roman" w:cs="Times New Roman" w:eastAsia="Times New Roman" w:hAnsi="Times New Roman"/>
          <w:sz w:val="18"/>
          <w:szCs w:val="18"/>
          <w:b w:val="1"/>
          <w:bCs w:val="1"/>
          <w:i w:val="1"/>
          <w:iCs w:val="1"/>
          <w:color w:val="auto"/>
        </w:rPr>
        <w:t>Duties of Initial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hereby acknowledges and agrees, for itself and on behalf of its Affiliates, that the duties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“Master Services Agreement”)), and shall be performed by CEG or an Affiliate thereof at no additional cost to Purchaser for so long as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Master Services Agreement shall remain in full force and effect,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Purchaser shall act as the “Manager” under the A&amp;R LLCA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CEG shall remain an indirect owner of Seller.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 respect to any Losses for which Purchaser or its Affiliate is or becomes indemnified by a third party with respect to any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Seller shall have no obligation to indemnify Purchaser with respect to such Losses); or (c) except to the extent included in the calculation of the Purchase Price, any Transaction Expense of any Acquired Company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such Purchaser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any other contract or agreement related to either Project between Purchaser or any of its Affiliates, on the one hand, and Seller or any of its Affiliates, on the other hand.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such Seller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or any other contract or agreement related to either Project between Seller or any of its Affiliates, on the one hand, and Purchaser or any of its Affiliates, on the other hand.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3.01(i)(v)</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3.01(i)(ix) </w:t>
      </w:r>
      <w:r>
        <w:rPr>
          <w:rFonts w:ascii="Times New Roman" w:cs="Times New Roman" w:eastAsia="Times New Roman" w:hAnsi="Times New Roman"/>
          <w:sz w:val="18"/>
          <w:szCs w:val="18"/>
          <w:color w:val="auto"/>
        </w:rPr>
        <w:t>(Company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Companies), </w:t>
      </w:r>
      <w:r>
        <w:rPr>
          <w:rFonts w:ascii="Times New Roman" w:cs="Times New Roman" w:eastAsia="Times New Roman" w:hAnsi="Times New Roman"/>
          <w:sz w:val="18"/>
          <w:szCs w:val="18"/>
          <w:i w:val="1"/>
          <w:iCs w:val="1"/>
          <w:color w:val="auto"/>
        </w:rPr>
        <w:t>Section 3.02(a)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 3.02(b)</w:t>
      </w:r>
      <w:r>
        <w:rPr>
          <w:rFonts w:ascii="Times New Roman" w:cs="Times New Roman" w:eastAsia="Times New Roman" w:hAnsi="Times New Roman"/>
          <w:sz w:val="18"/>
          <w:szCs w:val="18"/>
          <w:color w:val="auto"/>
        </w:rPr>
        <w:t xml:space="preserve"> (Authority) and </w:t>
      </w:r>
      <w:r>
        <w:rPr>
          <w:rFonts w:ascii="Times New Roman" w:cs="Times New Roman" w:eastAsia="Times New Roman" w:hAnsi="Times New Roman"/>
          <w:sz w:val="18"/>
          <w:szCs w:val="18"/>
          <w:i w:val="1"/>
          <w:iCs w:val="1"/>
          <w:color w:val="auto"/>
        </w:rPr>
        <w:t>Section 3.02(h)</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shall survive the Closing for five (5) years after the Closing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representations and warranties in</w:t>
      </w:r>
      <w:r>
        <w:rPr>
          <w:rFonts w:ascii="Times New Roman" w:cs="Times New Roman" w:eastAsia="Times New Roman" w:hAnsi="Times New Roman"/>
          <w:sz w:val="18"/>
          <w:szCs w:val="18"/>
          <w:i w:val="1"/>
          <w:iCs w:val="1"/>
          <w:color w:val="auto"/>
        </w:rPr>
        <w:t xml:space="preserve"> Section 3.01(k) </w:t>
      </w:r>
      <w:r>
        <w:rPr>
          <w:rFonts w:ascii="Times New Roman" w:cs="Times New Roman" w:eastAsia="Times New Roman" w:hAnsi="Times New Roman"/>
          <w:sz w:val="18"/>
          <w:szCs w:val="18"/>
          <w:color w:val="auto"/>
        </w:rPr>
        <w:t>(Taxes)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survive the Closing until thirty (30) days after the expiration of the applicable Tax statute of limitations. The indemnity obligations of Seller pursuant to </w:t>
      </w:r>
      <w:r>
        <w:rPr>
          <w:rFonts w:ascii="Times New Roman" w:cs="Times New Roman" w:eastAsia="Times New Roman" w:hAnsi="Times New Roman"/>
          <w:sz w:val="18"/>
          <w:szCs w:val="18"/>
          <w:i w:val="1"/>
          <w:iCs w:val="1"/>
          <w:color w:val="auto"/>
        </w:rPr>
        <w:t xml:space="preserve">Section 6.01(b) </w:t>
      </w:r>
      <w:r>
        <w:rPr>
          <w:rFonts w:ascii="Times New Roman" w:cs="Times New Roman" w:eastAsia="Times New Roman" w:hAnsi="Times New Roman"/>
          <w:sz w:val="18"/>
          <w:szCs w:val="18"/>
          <w:color w:val="auto"/>
        </w:rPr>
        <w:t>shall survive until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as to item 1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any right of a counterparty of any Project Company to receive Delay Damages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terminated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as to item 2 of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b w:val="1"/>
          <w:bCs w:val="1"/>
          <w:color w:val="auto"/>
        </w:rPr>
        <w:t>6.04.       </w:t>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any Fraudulent Action, (ii)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or (iii) a breach of any Fundamental Representations.</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other than item 2 of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shall be limited to an amount equal to the Purchase Price (the “</w:t>
      </w:r>
      <w:r>
        <w:rPr>
          <w:rFonts w:ascii="Times New Roman" w:cs="Times New Roman" w:eastAsia="Times New Roman" w:hAnsi="Times New Roman"/>
          <w:sz w:val="18"/>
          <w:szCs w:val="18"/>
          <w:i w:val="1"/>
          <w:iCs w:val="1"/>
          <w:color w:val="auto"/>
        </w:rPr>
        <w:t>Aggregate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Cap shall not apply to Losses resulting from, arising out of or relating to the matters referenced in item 2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in no event shall the sum of Seller’s liability resulting from any claims under item 2 of</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in the aggregate, exceed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Cap.</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actual recovery under insurance policies that provide coverage,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actual recovery of reimbursement, indemnification or payment from any third Person,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any Adjusted Purchase Price Models.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b w:val="1"/>
          <w:bCs w:val="1"/>
          <w:color w:val="auto"/>
        </w:rPr>
        <w:t>6.05.        </w:t>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Whenever any claim by a third party shall arise for indemnification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xml:space="preserve">. If the Indemnified Party has assumed the defense of any claim by a third party which may give rise to indemnity hereunder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6.06.       </w:t>
      </w:r>
      <w:r>
        <w:rPr>
          <w:rFonts w:ascii="Times New Roman" w:cs="Times New Roman" w:eastAsia="Times New Roman" w:hAnsi="Times New Roman"/>
          <w:sz w:val="18"/>
          <w:szCs w:val="18"/>
          <w:b w:val="1"/>
          <w:bCs w:val="1"/>
          <w:i w:val="1"/>
          <w:iCs w:val="1"/>
          <w:color w:val="auto"/>
        </w:rPr>
        <w:t>Rights of the Indemnifying Party in the Defense of 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 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6.09.       </w:t>
      </w:r>
      <w:r>
        <w:rPr>
          <w:rFonts w:ascii="Times New Roman" w:cs="Times New Roman" w:eastAsia="Times New Roman" w:hAnsi="Times New Roman"/>
          <w:sz w:val="18"/>
          <w:szCs w:val="18"/>
          <w:b w:val="1"/>
          <w:bCs w:val="1"/>
          <w:i w:val="1"/>
          <w:iCs w:val="1"/>
          <w:color w:val="auto"/>
        </w:rPr>
        <w:t>Mitigations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6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(b)            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be treated as an adjustment to the Purchase Price (as determined for all relevant Tax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7.01.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This Agreement may be terminated at any time prior to the Closing Date as follows: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Seller and Purchaser;</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(b)            by either Party if the Closing has not occurred on or before December 31, 2027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a breach of Seller’s obligations to transfer the Acquired Interests at Closing in accordance with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Seller is endeavoring in good faith, and proceeding diligently, to cure such breach, Seller shall have an additional thirty (30) days in which to effect such cure; and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Purchaser is endeavoring in good faith, and proceeding diligently, to cure such breach, Purchaser shall have an additional thirty (30) days in which to effect such cure.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w:t>
      </w:r>
      <w:r>
        <w:rPr>
          <w:rFonts w:ascii="Times New Roman" w:cs="Times New Roman" w:eastAsia="Times New Roman" w:hAnsi="Times New Roman"/>
          <w:sz w:val="18"/>
          <w:szCs w:val="18"/>
          <w:b w:val="1"/>
          <w:bCs w:val="1"/>
          <w:i w:val="1"/>
          <w:iCs w:val="1"/>
          <w:color w:val="auto"/>
        </w:rPr>
        <w:t>Effect of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Upon termination of this Agreement by a Party for any reason: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 w:cs="Times New Roman" w:eastAsia="Times New Roman" w:hAnsi="Times New Roman"/>
          <w:sz w:val="18"/>
          <w:szCs w:val="18"/>
          <w:i w:val="1"/>
          <w:iCs w:val="1"/>
          <w:color w:val="auto"/>
        </w:rPr>
        <w:t>Section 8.06</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If to Purchaser, to:</w:t>
            </w: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RS2-Spindle Purchaser LLC</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 Clearway Energy Inc.</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300 Carnegie Center Drive, Suite 300</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Princeton, NJ 08540</w:t>
            </w:r>
          </w:p>
        </w:tc>
      </w:tr>
      <w:tr>
        <w:trPr>
          <w:trHeight w:val="216"/>
        </w:trPr>
        <w:tc>
          <w:tcPr>
            <w:tcW w:w="316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Attn: [***]</w:t>
            </w:r>
          </w:p>
        </w:tc>
      </w:tr>
      <w:tr>
        <w:trPr>
          <w:trHeight w:val="234"/>
        </w:trPr>
        <w:tc>
          <w:tcPr>
            <w:tcW w:w="316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Email: [***]</w:t>
            </w:r>
          </w:p>
        </w:tc>
      </w:tr>
      <w:tr>
        <w:trPr>
          <w:trHeight w:val="67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240"/>
          </w:cols>
          <w:pgMar w:left="320" w:top="904" w:right="339" w:bottom="1440" w:gutter="0" w:footer="0" w:header="0"/>
        </w:sectPr>
      </w:pPr>
    </w:p>
    <w:bookmarkStart w:id="56" w:name="page57"/>
    <w:bookmarkEnd w:id="56"/>
    <w:p>
      <w:pPr>
        <w:ind w:left="136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RS2-Spindle CE Seller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Renew Development HoldCo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31" w:right="339" w:bottom="1440" w:gutter="0" w:footer="0" w:header="0"/>
        </w:sectPr>
      </w:pP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Renew Development HoldCo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31" w:right="339" w:bottom="1440" w:gutter="0" w:footer="0" w:header="0"/>
          <w:type w:val="continuous"/>
        </w:sectPr>
      </w:pP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delivered personally (or refusal of 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delivered (or refusal of such delivery)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 time may change its address, email address or other information for the purpose of notices to that Party by giving notice specifying such change to the other Party.</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 the entire agreement between the Parties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8.04.       </w:t>
      </w:r>
      <w:r>
        <w:rPr>
          <w:rFonts w:ascii="Times New Roman" w:cs="Times New Roman" w:eastAsia="Times New Roman" w:hAnsi="Times New Roman"/>
          <w:sz w:val="18"/>
          <w:szCs w:val="18"/>
          <w:b w:val="1"/>
          <w:bCs w:val="1"/>
          <w:i w:val="1"/>
          <w:iCs w:val="1"/>
          <w:color w:val="auto"/>
        </w:rPr>
        <w:t>Time of the Essence</w:t>
      </w:r>
      <w:r>
        <w:rPr>
          <w:rFonts w:ascii="Times New Roman" w:cs="Times New Roman" w:eastAsia="Times New Roman" w:hAnsi="Times New Roman"/>
          <w:sz w:val="18"/>
          <w:szCs w:val="18"/>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7" w:name="page58"/>
    <w:bookmarkEnd w:id="5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Affiliate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financial institution providing purchase money or other financing to Purchaser from time to time as collateral security for such financing, in each case so long as Purchaser remains fully liable for its obligations under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8.13.       </w:t>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ind w:right="-119"/>
        <w:spacing w:after="0"/>
        <w:rPr>
          <w:sz w:val="20"/>
          <w:szCs w:val="20"/>
          <w:color w:val="auto"/>
        </w:rPr>
      </w:pPr>
      <w:r>
        <w:rPr>
          <w:rFonts w:ascii="Times New Roman" w:cs="Times New Roman" w:eastAsia="Times New Roman" w:hAnsi="Times New Roman"/>
          <w:sz w:val="18"/>
          <w:szCs w:val="18"/>
          <w:color w:val="auto"/>
        </w:rPr>
        <w:t>(b)            Each Party hereto irrevocably and unconditionally waives, to the fullest extent it may legally and effectively do so: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 or Proceeding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 or Proceeding in any such court.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LOSSES ARISING OUT OF THIRD PARTY CLAIMS FOR WHICH A PARTY IS ENTITLED TO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SHALL NOT CONSTITUTE CONSEQUENTIAL DAMAGES. FOR THE AVOIDANCE OF DOUBT, AN ACTION FOR THE PAYMENT OF THE PURCHASE PRICE SHALL NOT BE CONSIDERED CONSEQUENTIAL DAMAGES.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RS2-SPINDLE CE SELLER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Steven Ryder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Steven Ryder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RS2-Spindle – CWEN MIPA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RS2-SPINDLE PURCHASER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Stephen P.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Stephen P. Miller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RS2-Spindle – CWEN MIPA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Letter"/>
      <w:start w:val="6"/>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Roman"/>
      <w:start w:val="1"/>
    </w:lvl>
    <w:lvl w:ilvl="1">
      <w:lvlJc w:val="left"/>
      <w:lvlText w:val="(%2)"/>
      <w:numFmt w:val="lowerRoman"/>
      <w:start w:val="5"/>
    </w:lvl>
  </w:abstractNum>
  <w:abstractNum w:abstractNumId="8">
    <w:nsid w:val="216231B"/>
    <w:multiLevelType w:val="hybridMultilevel"/>
    <w:lvl w:ilvl="0">
      <w:lvlJc w:val="left"/>
      <w:lvlText w:val="(%1)"/>
      <w:numFmt w:val="lowerRoman"/>
      <w:start w:val="14"/>
    </w:lvl>
    <w:lvl w:ilvl="1">
      <w:lvlJc w:val="left"/>
      <w:lvlText w:val="%2"/>
      <w:numFmt w:val="lowerRoman"/>
      <w:start w:val="1"/>
    </w:lvl>
  </w:abstractNum>
  <w:abstractNum w:abstractNumId="9">
    <w:nsid w:val="1F16E9E8"/>
    <w:multiLevelType w:val="hybridMultilevel"/>
    <w:lvl w:ilvl="0">
      <w:lvlJc w:val="left"/>
      <w:lvlText w:val="(%1)"/>
      <w:numFmt w:val="lowerRoman"/>
      <w:start w:val="5"/>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2025-12-02T06:12:50Z</dcterms:created>
  <dcterms:modified xsi:type="dcterms:W3CDTF">2025-12-02T06:12:50Z</dcterms:modified>
</cp:coreProperties>
</file>