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153d1_8k.htm"/>
      <w:bookmarkStart w:id="1" w:name="kstm262715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0_edei--DocumentType_c2026100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Clearway Energy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0" w:type="dxa"/>
          <w:left w:w="0" w:type="dxa"/>
          <w:bottom w:w="0" w:type="dxa"/>
          <w:right w:w="0" w:type="dxa"/>
        </w:tblCellMar>
      </w:tblPr>
      <w:tblGrid>
        <w:gridCol w:w="2420"/>
        <w:gridCol w:w="60"/>
        <w:gridCol w:w="2210"/>
        <w:gridCol w:w="60"/>
        <w:gridCol w:w="2795"/>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1001"/>
            <w:bookmarkEnd w:id="6"/>
            <w:r>
              <w:rPr>
                <w:rFonts w:ascii="Times New Roman;Times;Serif" w:hAnsi="Times New Roman;Times;Serif"/>
                <w:b/>
                <w:i w:val="false"/>
                <w:caps w:val="false"/>
                <w:smallCaps w:val="false"/>
                <w:sz w:val="20"/>
              </w:rPr>
              <w:t>333-203369</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32-0407370</w:t>
            </w:r>
          </w:p>
        </w:tc>
      </w:tr>
      <w:tr>
        <w:trPr/>
        <w:tc>
          <w:tcPr>
            <w:tcW w:w="24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w:t>
            </w: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902 Carnegie Center, </w:t>
      </w:r>
      <w:bookmarkStart w:id="9" w:name="xdx_90E_edei--EntityAddressAddressLine2_"/>
      <w:bookmarkEnd w:id="9"/>
      <w:r>
        <w:rPr>
          <w:rFonts w:ascii="Times New Roman;Times;Serif" w:hAnsi="Times New Roman;Times;Serif"/>
          <w:b/>
          <w:i w:val="false"/>
          <w:caps w:val="false"/>
          <w:smallCaps w:val="false"/>
          <w:sz w:val="20"/>
        </w:rPr>
        <w:t xml:space="preserve">Suite 520, </w:t>
      </w:r>
      <w:bookmarkStart w:id="10" w:name="xdx_901_edei--EntityAddressCityOrTown_c2"/>
      <w:bookmarkEnd w:id="10"/>
      <w:r>
        <w:rPr>
          <w:rFonts w:ascii="Times New Roman;Times;Serif" w:hAnsi="Times New Roman;Times;Serif"/>
          <w:b/>
          <w:i w:val="false"/>
          <w:caps w:val="false"/>
          <w:smallCaps w:val="false"/>
          <w:sz w:val="20"/>
        </w:rPr>
        <w:t xml:space="preserve">Princeton, </w:t>
      </w:r>
      <w:bookmarkStart w:id="11" w:name="xdx_907_edei--EntityAddressStateOrProvin"/>
      <w:bookmarkEnd w:id="11"/>
      <w:r>
        <w:rPr>
          <w:rFonts w:ascii="Times New Roman;Times;Serif" w:hAnsi="Times New Roman;Times;Serif"/>
          <w:b/>
          <w:i w:val="false"/>
          <w:caps w:val="false"/>
          <w:smallCaps w:val="false"/>
          <w:sz w:val="20"/>
        </w:rPr>
        <w:t xml:space="preserve">New Jersey </w:t>
      </w:r>
      <w:bookmarkStart w:id="12" w:name="xdx_905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5_edei--CityAreaCode_c20261001__20"/>
      <w:bookmarkEnd w:id="13"/>
      <w:r>
        <w:rPr>
          <w:rFonts w:ascii="Times New Roman;Times;Serif" w:hAnsi="Times New Roman;Times;Serif"/>
          <w:b/>
          <w:i w:val="false"/>
          <w:caps w:val="false"/>
          <w:smallCaps w:val="false"/>
          <w:sz w:val="20"/>
        </w:rPr>
        <w:t xml:space="preserve">609) </w:t>
      </w:r>
      <w:bookmarkStart w:id="14" w:name="xdx_90C_edei--LocalPhoneNumber_c20261001"/>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7_edei--SolicitingMaterial_c202610"/>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2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Honeycomb 2 Purchaser LLC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 subsidiary of Clearway Energy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 Membership Interest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with Honeycomb 2 CE Seller LLC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 affiliate of Clearway Energy Group LLC (“</w:t>
      </w:r>
      <w:r>
        <w:rPr>
          <w:rFonts w:ascii="Times New Roman;Times;Serif" w:hAnsi="Times New Roman;Times;Serif"/>
          <w:b w:val="false"/>
          <w:i w:val="false"/>
          <w:caps w:val="false"/>
          <w:smallCaps w:val="false"/>
          <w:sz w:val="20"/>
          <w:u w:val="single"/>
        </w:rPr>
        <w:t>CEG</w:t>
      </w:r>
      <w:r>
        <w:rPr>
          <w:rFonts w:ascii="Times New Roman;Times;Serif" w:hAnsi="Times New Roman;Times;Serif"/>
          <w:b w:val="false"/>
          <w:i w:val="false"/>
          <w:caps w:val="false"/>
          <w:smallCaps w:val="false"/>
          <w:sz w:val="20"/>
        </w:rPr>
        <w:t>”).  Pursuant to the terms of the Purchase Agreement, Purchaser will acquire from Seller certain limited liability company membership interests in Honeycomb 2 TargetCo LLC (“</w:t>
      </w:r>
      <w:r>
        <w:rPr>
          <w:rFonts w:ascii="Times New Roman;Times;Serif" w:hAnsi="Times New Roman;Times;Serif"/>
          <w:b w:val="false"/>
          <w:i w:val="false"/>
          <w:caps w:val="false"/>
          <w:smallCaps w:val="false"/>
          <w:sz w:val="20"/>
          <w:u w:val="single"/>
        </w:rPr>
        <w:t>Target Company</w:t>
      </w:r>
      <w:r>
        <w:rPr>
          <w:rFonts w:ascii="Times New Roman;Times;Serif" w:hAnsi="Times New Roman;Times;Serif"/>
          <w:b w:val="false"/>
          <w:i w:val="false"/>
          <w:caps w:val="false"/>
          <w:smallCaps w:val="false"/>
          <w:sz w:val="20"/>
        </w:rPr>
        <w:t>”), which, subject to certain terms and conditions referenced in the Purchase Agreement, will become the indirect owner of all of the limited liability company interests in Escalante BESS II LLC, Escalante BESS III LLC and Granite Mountain BESS West LLC (collectively, the “</w:t>
      </w:r>
      <w:r>
        <w:rPr>
          <w:rFonts w:ascii="Times New Roman;Times;Serif" w:hAnsi="Times New Roman;Times;Serif"/>
          <w:b w:val="false"/>
          <w:i w:val="false"/>
          <w:caps w:val="false"/>
          <w:smallCaps w:val="false"/>
          <w:sz w:val="20"/>
          <w:u w:val="single"/>
        </w:rPr>
        <w:t>Project Companies</w:t>
      </w:r>
      <w:r>
        <w:rPr>
          <w:rFonts w:ascii="Times New Roman;Times;Serif" w:hAnsi="Times New Roman;Times;Serif"/>
          <w:b w:val="false"/>
          <w:i w:val="false"/>
          <w:caps w:val="false"/>
          <w:smallCaps w:val="false"/>
          <w:sz w:val="20"/>
        </w:rPr>
        <w:t>”), for a base purchase price of approximately $119 million in cash, subject to adjustments based on a financial model designed to achieve certain minimum economic thresholds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The Project Companies own and are developing three battery energy storage facilities and associated infrastructure, representing an aggregate capacity of approximately 210 megawatts, in Beaver County and Iron County, Utah. Effective at the closing of the Transaction, Purchaser will own 100% of the class A units of the Target Company and Clearway Renew LLC, a wholly owned subsidiary of CEG and the parent company of Seller, will own 100% of the class C units of the Target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covenants made by each of the parties. In addition, Purchaser, on the one hand, and Seller, on the other hand, are obligated, subject to certain limitations, to indemnify each other and their respective officers, directors, employees, counsel, accountants, financing advisors, consultants and agents for certain customary and other specified matters, including breaches of representations and warranties, nonfulfillment or breaches of covenants and for certain liabilities and third-party claims.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is subject to the satisfaction or waiver of a number of customary closing conditions and certain third-party actions. Subject to the satisfaction or waiver of the conditions set forth in the Purchase Agreement, the Closing is expected to occur during the fourth quarter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Transaction and the Purchase Agreement does not purport to be complete and is subject to, and qualified in its entirety by, reference to the full text of the Purchase Agreement, a copy of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Document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center"/>
              <w:rPr/>
            </w:pPr>
            <w:r>
              <w:rPr/>
              <w:t> </w:t>
            </w:r>
          </w:p>
        </w:tc>
      </w:tr>
      <w:tr>
        <w:trPr/>
        <w:tc>
          <w:tcPr>
            <w:tcW w:w="665" w:type="dxa"/>
            <w:tcBorders/>
            <w:tcMar>
              <w:bottom w:w="0" w:type="dxa"/>
            </w:tcMar>
            <w:vAlign w:val="center"/>
          </w:tcPr>
          <w:p>
            <w:pPr>
              <w:pStyle w:val="TableContents"/>
              <w:bidi w:val="0"/>
              <w:spacing w:before="0" w:after="283"/>
              <w:jc w:val="left"/>
              <w:rPr/>
            </w:pPr>
            <w:hyperlink w:anchor="tm2627153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7153d1_ex10-1.htm">
              <w:r>
                <w:rPr>
                  <w:rStyle w:val="InternetLink"/>
                  <w:rFonts w:ascii="Times New Roman;Times;Serif" w:hAnsi="Times New Roman;Times;Serif"/>
                  <w:sz w:val="20"/>
                </w:rPr>
                <w:t>Membership Interest Purchase Agreement, dated as of October 1, 2026, by and between Honeycomb 2 CE Seller LLC and Honeycomb 2 Purchaser LLC.</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Times;Serif" w:hAnsi="Times New Roman;Times;Serif"/>
                <w:sz w:val="20"/>
                <w:u w:val="single"/>
              </w:rPr>
              <w:t>SEC</w:t>
            </w:r>
            <w:r>
              <w:rPr>
                <w:rFonts w:ascii="Times New Roman;Times;Serif" w:hAnsi="Times New Roman;Times;Serif"/>
                <w:sz w:val="20"/>
              </w:rPr>
              <w:t>”) upon request.</w:t>
            </w:r>
          </w:p>
        </w:tc>
      </w:tr>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2270"/>
        <w:gridCol w:w="365"/>
        <w:gridCol w:w="3380"/>
      </w:tblGrid>
      <w:tr>
        <w:trPr/>
        <w:tc>
          <w:tcPr>
            <w:tcW w:w="2270"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both"/>
              <w:rPr>
                <w:b/>
              </w:rPr>
            </w:pPr>
            <w:r>
              <w:rPr>
                <w:b/>
              </w:rPr>
              <w:t>Clearway Energy LLC</w:t>
            </w:r>
          </w:p>
        </w:tc>
      </w:tr>
      <w:tr>
        <w:trPr/>
        <w:tc>
          <w:tcPr>
            <w:tcW w:w="2270"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both"/>
              <w:rPr/>
            </w:pPr>
            <w:r>
              <w:rPr/>
              <w:t> </w:t>
            </w:r>
          </w:p>
        </w:tc>
      </w:tr>
      <w:tr>
        <w:trPr/>
        <w:tc>
          <w:tcPr>
            <w:tcW w:w="22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By:</w:t>
            </w:r>
          </w:p>
        </w:tc>
        <w:tc>
          <w:tcPr>
            <w:tcW w:w="3380" w:type="dxa"/>
            <w:tcBorders>
              <w:bottom w:val="single" w:sz="8" w:space="0" w:color="000000"/>
            </w:tcBorders>
            <w:tcMar>
              <w:bottom w:w="28" w:type="dxa"/>
            </w:tcMar>
            <w:vAlign w:val="center"/>
          </w:tcPr>
          <w:p>
            <w:pPr>
              <w:pStyle w:val="TableContents"/>
              <w:bidi w:val="0"/>
              <w:spacing w:before="0" w:after="283"/>
              <w:jc w:val="both"/>
              <w:rPr>
                <w:i/>
              </w:rPr>
            </w:pPr>
            <w:r>
              <w:rPr>
                <w:i/>
              </w:rPr>
              <w:t>/s/ Michael A. Brown</w:t>
            </w:r>
          </w:p>
        </w:tc>
      </w:tr>
      <w:tr>
        <w:trPr/>
        <w:tc>
          <w:tcPr>
            <w:tcW w:w="22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3380" w:type="dxa"/>
            <w:tcBorders/>
            <w:vAlign w:val="center"/>
          </w:tcPr>
          <w:p>
            <w:pPr>
              <w:pStyle w:val="TableContents"/>
              <w:bidi w:val="0"/>
              <w:spacing w:before="0" w:after="283"/>
              <w:jc w:val="both"/>
              <w:rPr/>
            </w:pPr>
            <w:r>
              <w:rPr/>
              <w:t>Michael A. Brown</w:t>
            </w:r>
          </w:p>
        </w:tc>
      </w:tr>
      <w:tr>
        <w:trPr/>
        <w:tc>
          <w:tcPr>
            <w:tcW w:w="22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33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Corporate Secretary</w:t>
            </w:r>
          </w:p>
        </w:tc>
      </w:tr>
      <w:tr>
        <w:trPr/>
        <w:tc>
          <w:tcPr>
            <w:tcW w:w="2270" w:type="dxa"/>
            <w:tcBorders/>
            <w:vAlign w:val="center"/>
          </w:tcPr>
          <w:p>
            <w:pPr>
              <w:pStyle w:val="TableContents"/>
              <w:bidi w:val="0"/>
              <w:spacing w:before="0" w:after="283"/>
              <w:jc w:val="left"/>
              <w:rPr/>
            </w:pPr>
            <w:r>
              <w:rPr/>
              <w:t> </w:t>
            </w:r>
          </w:p>
        </w:tc>
        <w:tc>
          <w:tcPr>
            <w:tcW w:w="3745" w:type="dxa"/>
            <w:gridSpan w:val="2"/>
            <w:tcBorders/>
            <w:vAlign w:val="center"/>
          </w:tcPr>
          <w:p>
            <w:pPr>
              <w:pStyle w:val="TableContents"/>
              <w:bidi w:val="0"/>
              <w:spacing w:before="0" w:after="283"/>
              <w:jc w:val="both"/>
              <w:rPr/>
            </w:pPr>
            <w:r>
              <w:rPr/>
              <w:t> </w:t>
            </w:r>
          </w:p>
        </w:tc>
      </w:tr>
      <w:tr>
        <w:trPr/>
        <w:tc>
          <w:tcPr>
            <w:tcW w:w="2270" w:type="dxa"/>
            <w:tcBorders/>
            <w:vAlign w:val="center"/>
          </w:tcPr>
          <w:p>
            <w:pPr>
              <w:pStyle w:val="TableContents"/>
              <w:bidi w:val="0"/>
              <w:spacing w:before="0" w:after="283"/>
              <w:jc w:val="left"/>
              <w:rPr/>
            </w:pPr>
            <w:r>
              <w:rPr/>
              <w:t>Dated: October 7, 2026</w:t>
            </w:r>
          </w:p>
        </w:tc>
        <w:tc>
          <w:tcPr>
            <w:tcW w:w="3745"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0" w:name="tm2627153d1_ex10-1.htm"/>
      <w:bookmarkStart w:id="21" w:name="kstm2627153d1_ex101"/>
      <w:bookmarkEnd w:id="20"/>
      <w:bookmarkEnd w:id="21"/>
      <w:r>
        <w:rPr>
          <w:b/>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portions of this Exhibit have been redacted pursuant to Item 601(b)(10)(iv) of Regulation S-K and, where applicable, have been marked with “[***]” to indicate where redactions have been made. The marked information has been redacted because it is both (i) not material and (ii) would likely cause competitive harm to the Company if publicly disclosed.</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br/>
        <w:br/>
        <w:t>with respect to</w:t>
        <w:br/>
        <w:br/>
        <w:t>Honeycomb 2 TargetCo LLC</w:t>
        <w:br/>
        <w:br/>
        <w:t>by and between</w:t>
        <w:br/>
        <w:br/>
        <w:t>Honeycomb 2 CE Seller LLC, as Seller</w:t>
        <w:br/>
        <w:br/>
        <w:t>and</w:t>
        <w:br/>
        <w:br/>
        <w:t>Honeycomb 2 Purchaser LLC, as Purchaser</w:t>
        <w:br/>
        <w:br/>
        <w:t>dated as of October 1, 2026</w:t>
      </w:r>
    </w:p>
    <w:p>
      <w:pPr>
        <w:pStyle w:val="TextBody"/>
        <w:pBdr>
          <w:bottom w:val="doub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91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440"/>
        <w:gridCol w:w="6905"/>
        <w:gridCol w:w="245"/>
      </w:tblGrid>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 DEFINITIONS AND RULES OF INTERPRETATION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Rules of Interpretation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2 SALE OF MEMBERSHIP INTERESTS AND CLOSING</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 and Sale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Payment of Purchase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Additional Payments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2.04.</w:t>
            </w:r>
          </w:p>
        </w:tc>
        <w:tc>
          <w:tcPr>
            <w:tcW w:w="6905" w:type="dxa"/>
            <w:tcBorders/>
            <w:vAlign w:val="center"/>
          </w:tcPr>
          <w:p>
            <w:pPr>
              <w:pStyle w:val="TableContents"/>
              <w:bidi w:val="0"/>
              <w:spacing w:before="0" w:after="283"/>
              <w:jc w:val="left"/>
              <w:rPr/>
            </w:pPr>
            <w:r>
              <w:rPr>
                <w:rFonts w:ascii="Times New Roman;Times;Serif" w:hAnsi="Times New Roman;Times;Serif"/>
                <w:b/>
                <w:i/>
                <w:sz w:val="20"/>
              </w:rPr>
              <w:t>Adjusted Purchase Price Amount</w:t>
            </w:r>
            <w:r>
              <w:rPr>
                <w:i/>
                <w:sz w:val="20"/>
              </w:rPr>
              <w: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2.05.</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Certain Proceeds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2.06.</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Reporting of Transaction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3 REPRESENTATIONS AND WARRANTIES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Representations and Warranties with respect to Seller and the Acquired Companies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Representations and Warranties with Respect to Purchaser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4 CONDITIONS PRECEDENT</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Parties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Purchaser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Seller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5 Certain Covenants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Regulatory and Other Permits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Access to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Notification of Certain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5.04.</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Conduct of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5.05.</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Fulfillment of Conditions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5.06.</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Further Assurances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5.07.</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Purchaser’s Substitute Support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5.08.</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Matters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5.09.</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 Solicitation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5.10.</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Purchaser Parent Guaranty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Seller Parent Guaranty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Equity Agreements; Tax Credit Monetization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Duties of the Initial Manager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left"/>
        <w:rPr/>
      </w:pPr>
      <w:r>
        <w:rPr/>
        <w:t> </w:t>
      </w:r>
    </w:p>
    <w:tbl>
      <w:tblPr>
        <w:tblW w:w="6450" w:type="dxa"/>
        <w:jc w:val="left"/>
        <w:tblInd w:w="0" w:type="dxa"/>
        <w:tblLayout w:type="fixed"/>
        <w:tblCellMar>
          <w:top w:w="0" w:type="dxa"/>
          <w:left w:w="0" w:type="dxa"/>
          <w:bottom w:w="0" w:type="dxa"/>
          <w:right w:w="0" w:type="dxa"/>
        </w:tblCellMar>
      </w:tblPr>
      <w:tblGrid>
        <w:gridCol w:w="440"/>
        <w:gridCol w:w="5765"/>
        <w:gridCol w:w="245"/>
      </w:tblGrid>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6 Indemnification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Indemnification by Seller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Indemnification by Purchaser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Survival of Representations, Warranties, Covenants and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Limitations on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Procedure for Indemnification of Third Party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Rights of the Indemnifying Party in the Defense of Third Party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6.08.</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Exclusive Remedy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6.09.</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Mitigations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6.10.</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Indemnity Treatment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7 Termination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Effect of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8 GENERAL PROVISIONS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Specific Performance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Time of the Essence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Confidentiality; Disclosures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8.08.</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Amendment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8.09.</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 Third Party Beneficiary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8.10.</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Assignment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Consent to 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Limitation on Certain Damages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Disclosures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PDF Signature; 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830"/>
        <w:gridCol w:w="3710"/>
      </w:tblGrid>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Form of Assignment of Membership Interests </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Purchaser Parent Guaranty</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Seller Parent Guaranty</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Officer’s Certificate of Seller</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Secretary’s Certificate of Seller</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Officer’s Certificate of Purchaser</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Secretary’s Certificate of Purchaser</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H</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A&amp;R LLC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1190"/>
        <w:gridCol w:w="2645"/>
      </w:tblGrid>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6.01</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Indemnification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Disclosure Schedules:</w:t>
      </w:r>
    </w:p>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910"/>
        <w:gridCol w:w="3440"/>
      </w:tblGrid>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1.01</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Liens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3.01(c)</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Consents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3.01(e)</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Approvals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3.01(f)</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3.01(g)</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Business Jurisdictions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Permitted Equity Encumbrances </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3.01(i)(iii)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3.01(i)(v)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Options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3.01(i)(vi)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Additional Investments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3.01(i)(vii)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Additional Business Operations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3.01(j)</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3.01(k)</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3.01(m)(i)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Contracts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3.01(m)(iii)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Contracts Defaults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3.01(n)(i)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Land</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3.01(n)(ii)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Real Property Agreements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3.01(n)(iii)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Rights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3.01(o)</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Insured Property Rights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3.01(p)(i)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Law Non-Compliance</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3.01(p)(iii)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Permits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3.01(p)(iv)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Hazardous Substances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3.01(q)(i)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3.01(q)(ii)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Noncompliance</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3.01(r)</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 Transactions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3.01(s)(i)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3.01(t)</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3.01(w)</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3.01(y)</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Support Obligations</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5.04(b)</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Disclosure Schedules:</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520"/>
        <w:gridCol w:w="1700"/>
      </w:tblGrid>
      <w:tr>
        <w:trPr/>
        <w:tc>
          <w:tcPr>
            <w:tcW w:w="152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3.02(c)</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 Consents</w:t>
            </w:r>
          </w:p>
        </w:tc>
      </w:tr>
      <w:tr>
        <w:trPr/>
        <w:tc>
          <w:tcPr>
            <w:tcW w:w="152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3.02(e)</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r>
      <w:tr>
        <w:trPr/>
        <w:tc>
          <w:tcPr>
            <w:tcW w:w="152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3.02(h)</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r>
      <w:tr>
        <w:trPr/>
        <w:tc>
          <w:tcPr>
            <w:tcW w:w="1520" w:type="dxa"/>
            <w:tcBorders/>
            <w:vAlign w:val="center"/>
          </w:tcPr>
          <w:p>
            <w:pPr>
              <w:pStyle w:val="TableContents"/>
              <w:bidi w:val="0"/>
              <w:spacing w:before="0" w:after="283"/>
              <w:jc w:val="left"/>
              <w:rPr/>
            </w:pPr>
            <w:r>
              <w:rPr>
                <w:rFonts w:ascii="Times New Roman;Times;Serif" w:hAnsi="Times New Roman;Times;Serif"/>
                <w:sz w:val="20"/>
              </w:rPr>
              <w:t xml:space="preserve">Schedule </w:t>
            </w:r>
            <w:r>
              <w:rPr/>
              <w:t>3.02(i)</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 Approvals</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MEMBERSHIP INTEREST PURCHASE AGREEMENT (this “</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dated as of October 1, 2026 (the “</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is entered into by and between Honeycomb 2 CE Seller LLC, a Delaware limited liability company (“</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and Honeycomb 2 Purchaser LLC, a Delaware limited liability company (“</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Purchaser and Seller are referred to, collectively, as the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and each, individually, as a “</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xml:space="preserve">.” Capitalized terms not otherwise defined herein shall have the meaning given them in </w:t>
      </w:r>
      <w:r>
        <w:rPr>
          <w:rFonts w:ascii="Times New Roman;Times;Serif" w:hAnsi="Times New Roman;Times;Serif"/>
          <w:b w:val="false"/>
          <w:i/>
          <w:caps w:val="false"/>
          <w:smallCaps w:val="false"/>
          <w:sz w:val="20"/>
        </w:rPr>
        <w:t>Section 1.01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Renew Development HoldCo LLC, a Delaware limited liability company (“</w:t>
      </w:r>
      <w:r>
        <w:rPr>
          <w:rFonts w:ascii="Times New Roman;Times;Serif" w:hAnsi="Times New Roman;Times;Serif"/>
          <w:b w:val="false"/>
          <w:i/>
          <w:caps w:val="false"/>
          <w:smallCaps w:val="false"/>
          <w:sz w:val="20"/>
        </w:rPr>
        <w:t>Project DevCo</w:t>
      </w:r>
      <w:r>
        <w:rPr>
          <w:rFonts w:ascii="Times New Roman;Times;Serif" w:hAnsi="Times New Roman;Times;Serif"/>
          <w:b w:val="false"/>
          <w:i w:val="false"/>
          <w:caps w:val="false"/>
          <w:smallCaps w:val="false"/>
          <w:sz w:val="20"/>
        </w:rPr>
        <w:t>”) directly owns one hundred percent (100%) of the limited liability company membership interests of Honeycomb 2 Project Holdco Pledgor LLC, a Delaware limited liability company (“</w:t>
      </w:r>
      <w:r>
        <w:rPr>
          <w:rFonts w:ascii="Times New Roman;Times;Serif" w:hAnsi="Times New Roman;Times;Serif"/>
          <w:b w:val="false"/>
          <w:i/>
          <w:caps w:val="false"/>
          <w:smallCaps w:val="false"/>
          <w:sz w:val="20"/>
        </w:rPr>
        <w:t>Pledgor 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Pledgor Company directly owns one hundred percent (100%) of the limited liability company membership interests of Honeycomb 2 Project Holdco LLC, a Delaware limited liability company (“</w:t>
      </w:r>
      <w:r>
        <w:rPr>
          <w:rFonts w:ascii="Times New Roman;Times;Serif" w:hAnsi="Times New Roman;Times;Serif"/>
          <w:b w:val="false"/>
          <w:i/>
          <w:caps w:val="false"/>
          <w:smallCaps w:val="false"/>
          <w:sz w:val="20"/>
        </w:rPr>
        <w:t>Project Holdco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Project Holdco owns one hundred percent (100%) of the limited liability company membership interests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Escalante BESS II LLC, a Delaware limited liability company (the “</w:t>
      </w:r>
      <w:r>
        <w:rPr>
          <w:rFonts w:ascii="Times New Roman;Times;Serif" w:hAnsi="Times New Roman;Times;Serif"/>
          <w:b w:val="false"/>
          <w:i/>
          <w:caps w:val="false"/>
          <w:smallCaps w:val="false"/>
          <w:sz w:val="20"/>
        </w:rPr>
        <w:t>Escalante II Project Company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Escalante BESS III LLC, a Delaware limited liability company (the “</w:t>
      </w:r>
      <w:r>
        <w:rPr>
          <w:rFonts w:ascii="Times New Roman;Times;Serif" w:hAnsi="Times New Roman;Times;Serif"/>
          <w:b w:val="false"/>
          <w:i/>
          <w:caps w:val="false"/>
          <w:smallCaps w:val="false"/>
          <w:sz w:val="20"/>
        </w:rPr>
        <w:t>Escalante III Project 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Granite Mountain BESS West LLC, a Delaware limited liability company (the “</w:t>
      </w:r>
      <w:r>
        <w:rPr>
          <w:rFonts w:ascii="Times New Roman;Times;Serif" w:hAnsi="Times New Roman;Times;Serif"/>
          <w:b w:val="false"/>
          <w:i/>
          <w:caps w:val="false"/>
          <w:smallCaps w:val="false"/>
          <w:sz w:val="20"/>
        </w:rPr>
        <w:t>Granite Project Company</w:t>
      </w:r>
      <w:r>
        <w:rPr>
          <w:rFonts w:ascii="Times New Roman;Times;Serif" w:hAnsi="Times New Roman;Times;Serif"/>
          <w:b w:val="false"/>
          <w:i w:val="false"/>
          <w:caps w:val="false"/>
          <w:smallCaps w:val="false"/>
          <w:sz w:val="20"/>
        </w:rPr>
        <w:t>”, and together with the Escalante II Project Company and Escalante III Project Company, collectively, the “</w:t>
      </w:r>
      <w:r>
        <w:rPr>
          <w:rFonts w:ascii="Times New Roman;Times;Serif" w:hAnsi="Times New Roman;Times;Serif"/>
          <w:b w:val="false"/>
          <w:i/>
          <w:caps w:val="false"/>
          <w:smallCaps w:val="false"/>
          <w:sz w:val="20"/>
        </w:rPr>
        <w:t>Project Companies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Escalante II Project Company owns and is developing an approximately 80 MW</w:t>
      </w:r>
      <w:r>
        <w:rPr>
          <w:rFonts w:ascii="Times New Roman;Times;Serif" w:hAnsi="Times New Roman;Times;Serif"/>
          <w:b w:val="false"/>
          <w:i w:val="false"/>
          <w:caps w:val="false"/>
          <w:smallCaps w:val="false"/>
          <w:position w:val="-2"/>
          <w:sz w:val="16"/>
          <w:sz w:val="20"/>
        </w:rPr>
        <w:t>AC</w:t>
      </w:r>
      <w:r>
        <w:rPr>
          <w:rFonts w:ascii="Times New Roman;Times;Serif" w:hAnsi="Times New Roman;Times;Serif"/>
          <w:b w:val="false"/>
          <w:i w:val="false"/>
          <w:caps w:val="false"/>
          <w:smallCaps w:val="false"/>
          <w:sz w:val="20"/>
        </w:rPr>
        <w:t xml:space="preserve"> / 320 MWh</w:t>
      </w:r>
      <w:r>
        <w:rPr>
          <w:rFonts w:ascii="Times New Roman;Times;Serif" w:hAnsi="Times New Roman;Times;Serif"/>
          <w:b w:val="false"/>
          <w:i w:val="false"/>
          <w:caps w:val="false"/>
          <w:smallCaps w:val="false"/>
          <w:position w:val="-2"/>
          <w:sz w:val="16"/>
          <w:sz w:val="20"/>
        </w:rPr>
        <w:t>AC</w:t>
      </w:r>
      <w:r>
        <w:rPr>
          <w:rFonts w:ascii="Times New Roman;Times;Serif" w:hAnsi="Times New Roman;Times;Serif"/>
          <w:b w:val="false"/>
          <w:i w:val="false"/>
          <w:caps w:val="false"/>
          <w:smallCaps w:val="false"/>
          <w:sz w:val="20"/>
        </w:rPr>
        <w:t xml:space="preserve"> battery energy storage facility, and associated infrastructure, located in Beaver County, Utah (the “</w:t>
      </w:r>
      <w:r>
        <w:rPr>
          <w:rFonts w:ascii="Times New Roman;Times;Serif" w:hAnsi="Times New Roman;Times;Serif"/>
          <w:b w:val="false"/>
          <w:i/>
          <w:caps w:val="false"/>
          <w:smallCaps w:val="false"/>
          <w:sz w:val="20"/>
        </w:rPr>
        <w:t>Escalante II Project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Escalante III Project Company owns and is developing an approximately 80 MW</w:t>
      </w:r>
      <w:r>
        <w:rPr>
          <w:rFonts w:ascii="Times New Roman;Times;Serif" w:hAnsi="Times New Roman;Times;Serif"/>
          <w:b w:val="false"/>
          <w:i w:val="false"/>
          <w:caps w:val="false"/>
          <w:smallCaps w:val="false"/>
          <w:position w:val="-2"/>
          <w:sz w:val="16"/>
          <w:sz w:val="20"/>
        </w:rPr>
        <w:t>AC</w:t>
      </w:r>
      <w:r>
        <w:rPr>
          <w:rFonts w:ascii="Times New Roman;Times;Serif" w:hAnsi="Times New Roman;Times;Serif"/>
          <w:b w:val="false"/>
          <w:i w:val="false"/>
          <w:caps w:val="false"/>
          <w:smallCaps w:val="false"/>
          <w:sz w:val="20"/>
        </w:rPr>
        <w:t xml:space="preserve"> / 320 MWh</w:t>
      </w:r>
      <w:r>
        <w:rPr>
          <w:rFonts w:ascii="Times New Roman;Times;Serif" w:hAnsi="Times New Roman;Times;Serif"/>
          <w:b w:val="false"/>
          <w:i w:val="false"/>
          <w:caps w:val="false"/>
          <w:smallCaps w:val="false"/>
          <w:position w:val="-2"/>
          <w:sz w:val="16"/>
          <w:sz w:val="20"/>
        </w:rPr>
        <w:t>AC</w:t>
      </w:r>
      <w:r>
        <w:rPr>
          <w:rFonts w:ascii="Times New Roman;Times;Serif" w:hAnsi="Times New Roman;Times;Serif"/>
          <w:b w:val="false"/>
          <w:i w:val="false"/>
          <w:caps w:val="false"/>
          <w:smallCaps w:val="false"/>
          <w:sz w:val="20"/>
        </w:rPr>
        <w:t xml:space="preserve"> battery energy storage facility, and associated infrastructure, located in Beaver County, Utah (the “</w:t>
      </w:r>
      <w:r>
        <w:rPr>
          <w:rFonts w:ascii="Times New Roman;Times;Serif" w:hAnsi="Times New Roman;Times;Serif"/>
          <w:b w:val="false"/>
          <w:i/>
          <w:caps w:val="false"/>
          <w:smallCaps w:val="false"/>
          <w:sz w:val="20"/>
        </w:rPr>
        <w:t>Escalante III Project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Granite Project Company owns and is developing an approximately 50 MW</w:t>
      </w:r>
      <w:r>
        <w:rPr>
          <w:rFonts w:ascii="Times New Roman;Times;Serif" w:hAnsi="Times New Roman;Times;Serif"/>
          <w:b w:val="false"/>
          <w:i w:val="false"/>
          <w:caps w:val="false"/>
          <w:smallCaps w:val="false"/>
          <w:position w:val="-2"/>
          <w:sz w:val="16"/>
          <w:sz w:val="20"/>
        </w:rPr>
        <w:t>AC</w:t>
      </w:r>
      <w:r>
        <w:rPr>
          <w:rFonts w:ascii="Times New Roman;Times;Serif" w:hAnsi="Times New Roman;Times;Serif"/>
          <w:b w:val="false"/>
          <w:i w:val="false"/>
          <w:caps w:val="false"/>
          <w:smallCaps w:val="false"/>
          <w:sz w:val="20"/>
        </w:rPr>
        <w:t xml:space="preserve"> / 200 MWh</w:t>
      </w:r>
      <w:r>
        <w:rPr>
          <w:rFonts w:ascii="Times New Roman;Times;Serif" w:hAnsi="Times New Roman;Times;Serif"/>
          <w:b w:val="false"/>
          <w:i w:val="false"/>
          <w:caps w:val="false"/>
          <w:smallCaps w:val="false"/>
          <w:position w:val="-2"/>
          <w:sz w:val="16"/>
          <w:sz w:val="20"/>
        </w:rPr>
        <w:t>AC</w:t>
      </w:r>
      <w:r>
        <w:rPr>
          <w:rFonts w:ascii="Times New Roman;Times;Serif" w:hAnsi="Times New Roman;Times;Serif"/>
          <w:b w:val="false"/>
          <w:i w:val="false"/>
          <w:caps w:val="false"/>
          <w:smallCaps w:val="false"/>
          <w:sz w:val="20"/>
        </w:rPr>
        <w:t xml:space="preserve"> battery energy storage facility, and associated infrastructure, located in Iron County, Utah (the “</w:t>
      </w:r>
      <w:r>
        <w:rPr>
          <w:rFonts w:ascii="Times New Roman;Times;Serif" w:hAnsi="Times New Roman;Times;Serif"/>
          <w:b w:val="false"/>
          <w:i/>
          <w:caps w:val="false"/>
          <w:smallCaps w:val="false"/>
          <w:sz w:val="20"/>
        </w:rPr>
        <w:t>Granite Mountain West Project</w:t>
      </w:r>
      <w:r>
        <w:rPr>
          <w:rFonts w:ascii="Times New Roman;Times;Serif" w:hAnsi="Times New Roman;Times;Serif"/>
          <w:b w:val="false"/>
          <w:i w:val="false"/>
          <w:caps w:val="false"/>
          <w:smallCaps w:val="false"/>
          <w:sz w:val="20"/>
        </w:rPr>
        <w:t>”, and together with the Escalante II Project and Escalante III Project, collectively, the “</w:t>
      </w:r>
      <w:r>
        <w:rPr>
          <w:rFonts w:ascii="Times New Roman;Times;Serif" w:hAnsi="Times New Roman;Times;Serif"/>
          <w:b w:val="false"/>
          <w:i/>
          <w:caps w:val="false"/>
          <w:smallCaps w:val="false"/>
          <w:sz w:val="20"/>
        </w:rPr>
        <w:t>Projects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Seller directly owns one hundred percent (100%) of the limited liability company membership interests of Honeycomb 2 TargetCo LLC, a Delaware limited liability company (the “</w:t>
      </w:r>
      <w:r>
        <w:rPr>
          <w:rFonts w:ascii="Times New Roman;Times;Serif" w:hAnsi="Times New Roman;Times;Serif"/>
          <w:b w:val="false"/>
          <w:i/>
          <w:caps w:val="false"/>
          <w:smallCaps w:val="false"/>
          <w:sz w:val="20"/>
        </w:rPr>
        <w:t>Target Company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Target Company directly owns one hundred percent (100%) of the limited liability company membership interests of Honeycomb 2 Class B Member LLC, a Delaware limited liability company (the “</w:t>
      </w:r>
      <w:r>
        <w:rPr>
          <w:rFonts w:ascii="Times New Roman;Times;Serif" w:hAnsi="Times New Roman;Times;Serif"/>
          <w:b w:val="false"/>
          <w:i/>
          <w:caps w:val="false"/>
          <w:smallCaps w:val="false"/>
          <w:sz w:val="20"/>
        </w:rPr>
        <w:t>Class B Member</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until the Tax Equity Investor (as defined below) makes its initial investment in Honeycomb 2 TE Holdco LLC, a Delaware limited liability company (“</w:t>
      </w:r>
      <w:r>
        <w:rPr>
          <w:rFonts w:ascii="Times New Roman;Times;Serif" w:hAnsi="Times New Roman;Times;Serif"/>
          <w:b w:val="false"/>
          <w:i/>
          <w:caps w:val="false"/>
          <w:smallCaps w:val="false"/>
          <w:sz w:val="20"/>
        </w:rPr>
        <w:t>TE HoldCo</w:t>
      </w:r>
      <w:r>
        <w:rPr>
          <w:rFonts w:ascii="Times New Roman;Times;Serif" w:hAnsi="Times New Roman;Times;Serif"/>
          <w:b w:val="false"/>
          <w:i w:val="false"/>
          <w:caps w:val="false"/>
          <w:smallCaps w:val="false"/>
          <w:sz w:val="20"/>
        </w:rPr>
        <w:t>”, and together with the Escalante II Project Company, the Escalante III Project Company, the Granite Project Company, Class B Member, Project HoldCo and Target Company, the “</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in accordance with the Tax Equity Agreements (as defined below),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Class B Member will own one hundred percent (100%) of the limited liability company membership interests in TE HoldCo,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Pledgor Company will directly own one hundred percent (100%) of Project HoldCo which in turn directly owns one hundred percent (100%) of the limited liability company membership interests of Escalante II Project Company, Escalante III Project Company and Granite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prior to the Closing (as defined below), consistent with the provisions of the Tax Equity Agreements,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Class B Member will make a contribution to, and the Tax Equity Investor will make its initial investment in, TE HoldCo in accordance with the Tax Equity Agreements,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limited liability company membership interests in TE HoldCo will be divided into Class A membership interests and Class B membership interests, with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one hundred percent (100%) of the Class A membership interests in TE HoldCo to be issued, directly or indirectly, to the Tax Equity Investor,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portion of the limited liability company membership interests in TE HoldCo retained by Class B Member to be converted into one hundred percent (100%) of the Class B membership interests in TE HoldCo,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pursuant to the TE HoldCo MIPA (as defined below), TE HoldCo will acquire from Pledgor Company one hundred percent (100%) of the limited liability company membership interests of Project HoldCo, which indirectly owns the Projects;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subsequent to the consummation of the transactions described in the immediately preceding recital, TE HoldCo will own, directly or indirectly, all the limited liability company membership interests in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Project Holdco, which directly owns the Project Companies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Project Companies that directly own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occurrence of the SC Funding (as defined below) and following repayment of the Tax Equity Bridge Loan, (as defined below),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Purchaser shall make the SC Payment (as defined below) to Seller,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Seller shall contribute the amount of the SC Payment to Target Company,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Target Company shall contribute the amount of the SC Payment to Class B Member and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Class B Member will make a contribution to TE HoldCo equal to the SC Payment, and the Tax Equity Investor will make an investment in TE HoldCo in respect of the SC Funding in accordance with the Tax Equity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at the Closing, and subsequent to the Tax Equity Investor making its initial investment in TE HoldCo, Seller desires to sell, and Purchaser desires to purchase, nine hundred and ninety-nine (999) units, which represent a portion of the limited liability company membership interests in the Target Company (the “</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which shall be converted into one hundred percent (100%) of the Class A limited liability company membership interests in the Target Company, on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following Purchaser’s acquisition of the Acquired Interests,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Seller will distribute (the “</w:t>
      </w:r>
      <w:r>
        <w:rPr>
          <w:rFonts w:ascii="Times New Roman;Times;Serif" w:hAnsi="Times New Roman;Times;Serif"/>
          <w:b w:val="false"/>
          <w:i/>
          <w:caps w:val="false"/>
          <w:smallCaps w:val="false"/>
          <w:sz w:val="20"/>
        </w:rPr>
        <w:t>Seller Distribution</w:t>
      </w:r>
      <w:r>
        <w:rPr>
          <w:rFonts w:ascii="Times New Roman;Times;Serif" w:hAnsi="Times New Roman;Times;Serif"/>
          <w:b w:val="false"/>
          <w:i w:val="false"/>
          <w:caps w:val="false"/>
          <w:smallCaps w:val="false"/>
          <w:sz w:val="20"/>
        </w:rPr>
        <w:t>”) to Clearway Renew LLC, a Delaware limited liability company (“</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the remaining one (1) unit, which represents the remaining portion of the limited liability company membership interests in the Target Company owned by Seller (the “</w:t>
      </w:r>
      <w:r>
        <w:rPr>
          <w:rFonts w:ascii="Times New Roman;Times;Serif" w:hAnsi="Times New Roman;Times;Serif"/>
          <w:b w:val="false"/>
          <w:i/>
          <w:caps w:val="false"/>
          <w:smallCaps w:val="false"/>
          <w:sz w:val="20"/>
        </w:rPr>
        <w:t>Retained Interest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such Retained Interest shall be converted into one hundred percent (100%) of the Class C limited liability company membership interests in the Target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A&amp;R LLCA, upon the consummation of the Closing,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Acquired Interests shall be designated the “Class A Membership Interest”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Retained Interest shall be designated the “Class C Membership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respective representations, warranties, covenants and agreements set forth herein, and for other good and valuable consideration, the receipt and sufficiency of which are hereby acknowledged,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DEFINITIONS AND RULES OF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i/>
          <w:caps w:val="false"/>
          <w:smallCaps w:val="false"/>
          <w:sz w:val="20"/>
        </w:rPr>
        <w:t>Definitions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As used in this Agreement, the following defined terms have the meanings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A&amp;R LLCA</w:t>
      </w:r>
      <w:r>
        <w:rPr>
          <w:rFonts w:ascii="Times New Roman;Times;Serif" w:hAnsi="Times New Roman;Times;Serif"/>
          <w:b w:val="false"/>
          <w:i w:val="false"/>
          <w:caps w:val="false"/>
          <w:smallCaps w:val="false"/>
          <w:sz w:val="20"/>
        </w:rPr>
        <w:t xml:space="preserve">” means that certain Amended and Restated Limited Liability Company Agreement of the Target Company, substantially in the form attached hereto as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(and, with respect to any portion of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subject to finalization during the Interim Period, with such supplements or modifications thereto as may be mutually agreed by the Parties, each acting reasonably and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Action or Proceeding</w:t>
      </w:r>
      <w:r>
        <w:rPr>
          <w:rFonts w:ascii="Times New Roman;Times;Serif" w:hAnsi="Times New Roman;Times;Serif"/>
          <w:b w:val="false"/>
          <w:i w:val="false"/>
          <w:caps w:val="false"/>
          <w:smallCaps w:val="false"/>
          <w:sz w:val="20"/>
        </w:rPr>
        <w:t>” means any action, suit, proceeding, arbitration or investigation by or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w:t>
      </w:r>
      <w:r>
        <w:rPr>
          <w:rFonts w:ascii="Times New Roman;Times;Serif" w:hAnsi="Times New Roman;Times;Serif"/>
          <w:b w:val="false"/>
          <w:i w:val="false"/>
          <w:caps w:val="false"/>
          <w:smallCaps w:val="false"/>
          <w:sz w:val="20"/>
        </w:rPr>
        <w:t>” means the Purchase Price necessary to achieve at least the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Minimum NPV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Minimum Average 10-Year CAFD Yield, inclusive of any Transaction Expenses, calculated in accordance with the Adjusted Purchase Price Model. Notwithstanding the foregoing, the Adjusted Purchase Price shall be no greater than [***] of the Base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Amount</w:t>
      </w:r>
      <w:r>
        <w:rPr>
          <w:rFonts w:ascii="Times New Roman;Times;Serif" w:hAnsi="Times New Roman;Times;Serif"/>
          <w:b w:val="false"/>
          <w:i w:val="false"/>
          <w:caps w:val="false"/>
          <w:smallCaps w:val="false"/>
          <w:sz w:val="20"/>
        </w:rPr>
        <w:t xml:space="preserve">” means the Adjusted Purchase Price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the Base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Model</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 specified Person means any other Person that directly or indirectly through one or more intermediaries Controls, is Controlled by or is under common Control with the Person specified. For the purposes of this Agreement,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CEG, Seller and the direct or indirect subsidiaries of each (other than Clearway Energy Inc., and its direct or indirect subsidiaries), on the one hand,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Clearway Energy Inc., Clearway Energy LLC, Purchaser Parent, Purchaser and the direct or indirect subsidiaries of each, on the other hand, shall not be considered “Affiliates,”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with respect to Purchaser, “Affiliates” shall be limited to Clearway Energy Inc. and its subsidiaries,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with respect to Seller, “Affiliates” shall be limited to Clearway Energy Group LLC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Aggregate 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Ancillary Documents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Assignment of Membership Interests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the respective certificates to be executed and delivered at the Closing by Purchaser pursuant to </w:t>
      </w:r>
      <w:r>
        <w:rPr>
          <w:rFonts w:ascii="Times New Roman;Times;Serif" w:hAnsi="Times New Roman;Times;Serif"/>
          <w:b w:val="false"/>
          <w:i/>
          <w:caps w:val="false"/>
          <w:smallCaps w:val="false"/>
          <w:sz w:val="20"/>
        </w:rPr>
        <w:t>Section 4.03(c) </w:t>
      </w:r>
      <w:r>
        <w:rPr>
          <w:rFonts w:ascii="Times New Roman;Times;Serif" w:hAnsi="Times New Roman;Times;Serif"/>
          <w:b w:val="false"/>
          <w:i w:val="false"/>
          <w:caps w:val="false"/>
          <w:smallCaps w:val="false"/>
          <w:sz w:val="20"/>
        </w:rPr>
        <w:t xml:space="preserve">or by Seller pursuant to </w:t>
      </w:r>
      <w:r>
        <w:rPr>
          <w:rFonts w:ascii="Times New Roman;Times;Serif" w:hAnsi="Times New Roman;Times;Serif"/>
          <w:b w:val="false"/>
          <w:i/>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Appraisal</w:t>
      </w:r>
      <w:r>
        <w:rPr>
          <w:rFonts w:ascii="Times New Roman;Times;Serif" w:hAnsi="Times New Roman;Times;Serif"/>
          <w:b w:val="false"/>
          <w:i w:val="false"/>
          <w:caps w:val="false"/>
          <w:smallCaps w:val="false"/>
          <w:sz w:val="20"/>
        </w:rPr>
        <w:t>” means the “Appraisal” (or other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Assignment of Membership Interests</w:t>
      </w:r>
      <w:r>
        <w:rPr>
          <w:rFonts w:ascii="Times New Roman;Times;Serif" w:hAnsi="Times New Roman;Times;Serif"/>
          <w:b w:val="false"/>
          <w:i w:val="false"/>
          <w:caps w:val="false"/>
          <w:smallCaps w:val="false"/>
          <w:sz w:val="20"/>
        </w:rPr>
        <w:t xml:space="preserve">” means the Assignment and Assumption Agreement, in substantially the form of </w:t>
      </w:r>
      <w:r>
        <w:rPr>
          <w:rFonts w:ascii="Times New Roman;Times;Serif" w:hAnsi="Times New Roman;Times;Serif"/>
          <w:b w:val="false"/>
          <w:i/>
          <w:caps w:val="false"/>
          <w:smallCaps w:val="false"/>
          <w:sz w:val="20"/>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Average 10-Year CAFD Yield</w:t>
      </w:r>
      <w:r>
        <w:rPr>
          <w:rFonts w:ascii="Times New Roman;Times;Serif" w:hAnsi="Times New Roman;Times;Serif"/>
          <w:b w:val="false"/>
          <w:i w:val="false"/>
          <w:caps w:val="false"/>
          <w:smallCaps w:val="false"/>
          <w:sz w:val="20"/>
        </w:rPr>
        <w:t>” means the average annual CAFD Yield for the first ten (10) calendar year period following commencement of full Project operations,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Case Model</w:t>
      </w:r>
      <w:r>
        <w:rPr>
          <w:rFonts w:ascii="Times New Roman;Times;Serif" w:hAnsi="Times New Roman;Times;Serif"/>
          <w:b w:val="false"/>
          <w:i w:val="false"/>
          <w:caps w:val="false"/>
          <w:smallCaps w:val="false"/>
          <w:sz w:val="20"/>
        </w:rPr>
        <w:t>” means the financial projections with respect to the Project Companies in file “Honeycomb 2_CWEN Model_9.22.2026”.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 day other than Saturday, Sunday or any day on which banks located in the State of New York are authorized or obligated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CAFD</w:t>
      </w:r>
      <w:r>
        <w:rPr>
          <w:rFonts w:ascii="Times New Roman;Times;Serif" w:hAnsi="Times New Roman;Times;Serif"/>
          <w:b w:val="false"/>
          <w:i w:val="false"/>
          <w:caps w:val="false"/>
          <w:smallCaps w:val="false"/>
          <w:sz w:val="20"/>
        </w:rPr>
        <w:t>” means the projected net pre-tax cash flows generated by the applicable Project that are available for distribution to Purchaser,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CAFD Yield</w:t>
      </w:r>
      <w:r>
        <w:rPr>
          <w:rFonts w:ascii="Times New Roman;Times;Serif" w:hAnsi="Times New Roman;Times;Serif"/>
          <w:b w:val="false"/>
          <w:i w:val="false"/>
          <w:caps w:val="false"/>
          <w:smallCaps w:val="false"/>
          <w:sz w:val="20"/>
        </w:rPr>
        <w:t>” means the ratio, expressed as a percentage,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the applicable Project’s projected CAFD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Purchase Price,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Capacity Agreements</w:t>
      </w:r>
      <w:r>
        <w:rPr>
          <w:rFonts w:ascii="Times New Roman;Times;Serif" w:hAnsi="Times New Roman;Times;Serif"/>
          <w:b w:val="false"/>
          <w:i w:val="false"/>
          <w:caps w:val="false"/>
          <w:smallCaps w:val="false"/>
          <w:sz w:val="20"/>
        </w:rPr>
        <w:t>” means (a) that certain Capacity Agreement, dated as of September 29, 2026, by and between Escalante II Project Company and PacifiCorp, (b) that certain Capacity Agreement, dated as of September 29, 2026, by and between Escalante III Project Company and PacifiCorp, and (c) that certain Capacity Agreement, dated as of September 29, 2026, by and between Granite Project Company and PacifiCorp,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CEG</w:t>
      </w:r>
      <w:r>
        <w:rPr>
          <w:rFonts w:ascii="Times New Roman;Times;Serif" w:hAnsi="Times New Roman;Times;Serif"/>
          <w:b w:val="false"/>
          <w:i w:val="false"/>
          <w:caps w:val="false"/>
          <w:smallCaps w:val="false"/>
          <w:sz w:val="20"/>
        </w:rPr>
        <w:t>” means Clearway Energy Group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Member</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Endorsement</w:t>
      </w:r>
      <w:r>
        <w:rPr>
          <w:rFonts w:ascii="Times New Roman;Times;Serif" w:hAnsi="Times New Roman;Times;Serif"/>
          <w:b w:val="false"/>
          <w:i w:val="false"/>
          <w:caps w:val="false"/>
          <w:smallCaps w:val="false"/>
          <w:sz w:val="20"/>
        </w:rPr>
        <w:t>” means the date down endorsement(s) to the applicable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means the Internal Revenue Code of 1986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Contracts</w:t>
      </w:r>
      <w:r>
        <w:rPr>
          <w:rFonts w:ascii="Times New Roman;Times;Serif" w:hAnsi="Times New Roman;Times;Serif"/>
          <w:b w:val="false"/>
          <w:i w:val="false"/>
          <w:caps w:val="false"/>
          <w:smallCaps w:val="false"/>
          <w:sz w:val="20"/>
        </w:rPr>
        <w:t>” means all material Contracts to which any Acquired Company is a party or by which any Acquired Company or any of its assets or properties are bound, including: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all Contracts for the purchase, exchange or sale of electric power, capacity, ancillary services or Environmental Attributes;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all Contracts for the transmission of electric power;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all interconnection Contracts for electricity;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all Contracts with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Seller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of its Affiliates (other than any other Acquired Company); and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all Contracts relating to the Acquired Interests or membership interests in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Constitutive Documents</w:t>
      </w:r>
      <w:r>
        <w:rPr>
          <w:rFonts w:ascii="Times New Roman;Times;Serif" w:hAnsi="Times New Roman;Times;Serif"/>
          <w:b w:val="false"/>
          <w:i w:val="false"/>
          <w:caps w:val="false"/>
          <w:smallCaps w:val="false"/>
          <w:sz w:val="20"/>
        </w:rPr>
        <w:t>” means the certificate of formation and the limited liability company agreement or partnership agreement of a Person.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Contract</w:t>
      </w:r>
      <w:r>
        <w:rPr>
          <w:rFonts w:ascii="Times New Roman;Times;Serif" w:hAnsi="Times New Roman;Times;Serif"/>
          <w:b w:val="false"/>
          <w:i w:val="false"/>
          <w:caps w:val="false"/>
          <w:smallCaps w:val="false"/>
          <w:sz w:val="20"/>
        </w:rPr>
        <w:t>” means any agreement, purchase order, commitment, evidence of Indebtedness, mortgage, indenture, security agreement or other contract entered into by a Person or by which a Person or any of its assets are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Control</w:t>
      </w:r>
      <w:r>
        <w:rPr>
          <w:rFonts w:ascii="Times New Roman;Times;Serif" w:hAnsi="Times New Roman;Times;Serif"/>
          <w:b w:val="false"/>
          <w:i w:val="false"/>
          <w:caps w:val="false"/>
          <w:smallCaps w:val="false"/>
          <w:sz w:val="20"/>
        </w:rPr>
        <w:t>” of a Person means the power, directly or indirectly, to direct or cause the direction of the management or policies of such Person (whether through ownership of securities or partnership or other ownership interests,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 Damages</w:t>
      </w:r>
      <w:r>
        <w:rPr>
          <w:rFonts w:ascii="Times New Roman;Times;Serif" w:hAnsi="Times New Roman;Times;Serif"/>
          <w:b w:val="false"/>
          <w:i w:val="false"/>
          <w:caps w:val="false"/>
          <w:smallCaps w:val="false"/>
          <w:sz w:val="20"/>
        </w:rPr>
        <w:t>” means any “Delay Damages” (or other equivalent term) (as defined in the applicable PPA) payable by the applicable Project Company to PacifiCorp pursuant to the applicable PPA.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Delayed Project</w:t>
      </w:r>
      <w:r>
        <w:rPr>
          <w:rFonts w:ascii="Times New Roman;Times;Serif" w:hAnsi="Times New Roman;Times;Serif"/>
          <w:b w:val="false"/>
          <w:i w:val="false"/>
          <w:caps w:val="false"/>
          <w:smallCaps w:val="false"/>
          <w:sz w:val="20"/>
        </w:rPr>
        <w:t>” means “Delayed Project” (or other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Delayed Project Installment Date</w:t>
      </w:r>
      <w:r>
        <w:rPr>
          <w:rFonts w:ascii="Times New Roman;Times;Serif" w:hAnsi="Times New Roman;Times;Serif"/>
          <w:b w:val="false"/>
          <w:i w:val="false"/>
          <w:caps w:val="false"/>
          <w:smallCaps w:val="false"/>
          <w:sz w:val="20"/>
        </w:rPr>
        <w:t>” means “Delayed Project Installment Date” (or other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Delayed Project Installment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Disclosure Schedules</w:t>
      </w:r>
      <w:r>
        <w:rPr>
          <w:rFonts w:ascii="Times New Roman;Times;Serif" w:hAnsi="Times New Roman;Times;Serif"/>
          <w:b w:val="false"/>
          <w:i w:val="false"/>
          <w:caps w:val="false"/>
          <w:smallCaps w:val="false"/>
          <w:sz w:val="20"/>
        </w:rPr>
        <w:t>” means the schedules to Seller’s and Purchaser’s representations and warranties of even date herewith delivered in connection with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Discount Rate</w:t>
      </w:r>
      <w:r>
        <w:rPr>
          <w:rFonts w:ascii="Times New Roman;Times;Serif" w:hAnsi="Times New Roman;Times;Serif"/>
          <w:b w:val="false"/>
          <w:i w:val="false"/>
          <w:caps w:val="false"/>
          <w:smallCaps w:val="false"/>
          <w:sz w:val="20"/>
        </w:rPr>
        <w:t>” means [***], which is inclusive of a [***] adder and shall be used to determine the Net Present Value, as set forth in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Employee Plan</w:t>
      </w:r>
      <w:r>
        <w:rPr>
          <w:rFonts w:ascii="Times New Roman;Times;Serif" w:hAnsi="Times New Roman;Times;Serif"/>
          <w:b w:val="false"/>
          <w:i w:val="false"/>
          <w:caps w:val="false"/>
          <w:smallCaps w:val="false"/>
          <w:sz w:val="20"/>
        </w:rPr>
        <w:t>” means any “employee benefit plan,” as such term is defined in Section 3(3) of ERISA, that is (or when in effect was) subject to any provision of ERISA, including Title IV of ERISA, and is or was sponsored, maintained or contributed to by Seller, any Acquired Company or any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Energy Storage Agreements</w:t>
      </w:r>
      <w:r>
        <w:rPr>
          <w:rFonts w:ascii="Times New Roman;Times;Serif" w:hAnsi="Times New Roman;Times;Serif"/>
          <w:b w:val="false"/>
          <w:i w:val="false"/>
          <w:caps w:val="false"/>
          <w:smallCaps w:val="false"/>
          <w:sz w:val="20"/>
        </w:rPr>
        <w:t>” means (a) that certain Energy Storage Agreement, dated as of September 29, 2026, by and between Escalante II Project Company and PacifiCorp, (b) that certain Energy Storage Agreement, dated as of September 29, 2026, by and between Escalante III Project Company and PacifiCorp, and (c) that certain Energy Storage Agreement, dated as of September 29, 2026, by and between Granite Project Company and PacifiCorp,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Attributes</w:t>
      </w:r>
      <w:r>
        <w:rPr>
          <w:rFonts w:ascii="Times New Roman;Times;Serif" w:hAnsi="Times New Roman;Times;Serif"/>
          <w:b w:val="false"/>
          <w:i w:val="false"/>
          <w:caps w:val="false"/>
          <w:smallCaps w:val="false"/>
          <w:sz w:val="20"/>
        </w:rPr>
        <w:t>” means all environmental air quality credits, green credits, carbon credits, emissions reduction credits, certificates, tags, offsets, allowances or similar products or rights, howsoever entitled: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attributable to the generation, purchase, sale or use of renewable energy generated or use of renewable generation technologies by a Project, or otherwise attributable to a Project, including any renewable energy credits (“</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EPC Contractor</w:t>
      </w:r>
      <w:r>
        <w:rPr>
          <w:rFonts w:ascii="Times New Roman;Times;Serif" w:hAnsi="Times New Roman;Times;Serif"/>
          <w:b w:val="false"/>
          <w:i w:val="false"/>
          <w:caps w:val="false"/>
          <w:smallCaps w:val="false"/>
          <w:sz w:val="20"/>
        </w:rPr>
        <w:t>” means Rosendin Electric, Inc., a California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EPC Contracts</w:t>
      </w:r>
      <w:r>
        <w:rPr>
          <w:rFonts w:ascii="Times New Roman;Times;Serif" w:hAnsi="Times New Roman;Times;Serif"/>
          <w:b w:val="false"/>
          <w:i w:val="false"/>
          <w:caps w:val="false"/>
          <w:smallCaps w:val="false"/>
          <w:sz w:val="20"/>
        </w:rPr>
        <w:t>” mean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that certain Engineering, Procurement and Construction Agreement, dated as of September 4, 2026, by and between the Escalante II Project Company, Escalante III Project Company, and the EPC Contractor,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that certain Engineering, Procurement and Construction Agreement, dated as of September 4, 2026, by and between the Granite Project Company and the EPC Contractor,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Equity Capital Contribution Account</w:t>
      </w:r>
      <w:r>
        <w:rPr>
          <w:rFonts w:ascii="Times New Roman;Times;Serif" w:hAnsi="Times New Roman;Times;Serif"/>
          <w:b w:val="false"/>
          <w:i w:val="false"/>
          <w:caps w:val="false"/>
          <w:smallCaps w:val="false"/>
          <w:sz w:val="20"/>
        </w:rPr>
        <w:t>” means the “Equity Capital Contribution Account” (as defined in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means the U.S.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 Affiliate</w:t>
      </w:r>
      <w:r>
        <w:rPr>
          <w:rFonts w:ascii="Times New Roman;Times;Serif" w:hAnsi="Times New Roman;Times;Serif"/>
          <w:b w:val="false"/>
          <w:i w:val="false"/>
          <w:caps w:val="false"/>
          <w:smallCaps w:val="false"/>
          <w:sz w:val="20"/>
        </w:rPr>
        <w:t xml:space="preserve">” means any entity, trade or business that is a member of a group described in Section 414(b), (c), (m) or (o) of the Code or Section 4001(b)(1) of ERISA that includes Seller or the Acquired Companies or that is a member of the same “controlled group” as Seller pursuant to Section 4001(a)(14) of ERISA;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Acquired Companies shall not be considered to be ERISA Affiliates from and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Escalante II 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Escalante III 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 Proforma Title Policy</w:t>
      </w:r>
      <w:r>
        <w:rPr>
          <w:rFonts w:ascii="Times New Roman;Times;Serif" w:hAnsi="Times New Roman;Times;Serif"/>
          <w:b w:val="false"/>
          <w:i w:val="false"/>
          <w:caps w:val="false"/>
          <w:smallCaps w:val="false"/>
          <w:sz w:val="20"/>
        </w:rPr>
        <w:t>” means each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that certain Pro Forma Owner’s Policy of Title Insurance in favor of the Escalante II Project Company issued by [***] under Policy No. [***],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that certain Pro Forma Owner’s Policy of Title Insurance in favor of the Escalante III Project Company, issued by [***] under Policy No. [***],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that certain Pro Forma Owner’s Policy of Title Insurance in favor of the Granite Project Company, issued by [***] under Policy No. [***], in each case, including all endorsements thereto as reasonably required by Purchaser, insuring all estates and interests of the applicable Project Company in the Insured Property Rights free and clear of all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Exempt Wholesale Generator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EWG</w:t>
      </w:r>
      <w:r>
        <w:rPr>
          <w:rFonts w:ascii="Times New Roman;Times;Serif" w:hAnsi="Times New Roman;Times;Serif"/>
          <w:b w:val="false"/>
          <w:i w:val="false"/>
          <w:caps w:val="false"/>
          <w:smallCaps w:val="false"/>
          <w:sz w:val="20"/>
        </w:rPr>
        <w:t>” has the meaning given to such term in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FERC</w:t>
      </w:r>
      <w:r>
        <w:rPr>
          <w:rFonts w:ascii="Times New Roman;Times;Serif" w:hAnsi="Times New Roman;Times;Serif"/>
          <w:b w:val="false"/>
          <w:i w:val="false"/>
          <w:caps w:val="false"/>
          <w:smallCaps w:val="false"/>
          <w:sz w:val="20"/>
        </w:rPr>
        <w:t>” means the Federal Energy Regulatory Commission.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Agreement</w:t>
      </w:r>
      <w:r>
        <w:rPr>
          <w:rFonts w:ascii="Times New Roman;Times;Serif" w:hAnsi="Times New Roman;Times;Serif"/>
          <w:b w:val="false"/>
          <w:i w:val="false"/>
          <w:caps w:val="false"/>
          <w:smallCaps w:val="false"/>
          <w:sz w:val="20"/>
        </w:rPr>
        <w:t>” means that certain Financing Agreement, dated as of Execution Date, by and among Project HoldCo, Class B Member, each of the Project Companies, the Administrative Agent, [***], as collateral agent, and the lenders and issuing banks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Documents</w:t>
      </w:r>
      <w:r>
        <w:rPr>
          <w:rFonts w:ascii="Times New Roman;Times;Serif" w:hAnsi="Times New Roman;Times;Serif"/>
          <w:b w:val="false"/>
          <w:i w:val="false"/>
          <w:caps w:val="false"/>
          <w:smallCaps w:val="false"/>
          <w:sz w:val="20"/>
        </w:rPr>
        <w:t>” means the “Financing Documents” (as defined in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Phase MC Funding</w:t>
      </w:r>
      <w:r>
        <w:rPr>
          <w:rFonts w:ascii="Times New Roman;Times;Serif" w:hAnsi="Times New Roman;Times;Serif"/>
          <w:b w:val="false"/>
          <w:i w:val="false"/>
          <w:caps w:val="false"/>
          <w:smallCaps w:val="false"/>
          <w:sz w:val="20"/>
        </w:rPr>
        <w:t>” means the “Initial Funding Date Contributions” (or other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Phase MC Funding Date</w:t>
      </w:r>
      <w:r>
        <w:rPr>
          <w:rFonts w:ascii="Times New Roman;Times;Serif" w:hAnsi="Times New Roman;Times;Serif"/>
          <w:b w:val="false"/>
          <w:i w:val="false"/>
          <w:caps w:val="false"/>
          <w:smallCaps w:val="false"/>
          <w:sz w:val="20"/>
        </w:rPr>
        <w:t>” means the date on which the First Phase MC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Phase MC Payment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FPA</w:t>
      </w:r>
      <w:r>
        <w:rPr>
          <w:rFonts w:ascii="Times New Roman;Times;Serif" w:hAnsi="Times New Roman;Times;Serif"/>
          <w:b w:val="false"/>
          <w:i w:val="false"/>
          <w:caps w:val="false"/>
          <w:smallCaps w:val="false"/>
          <w:sz w:val="20"/>
        </w:rPr>
        <w:t>” means the Federal Power Act and all rules and regulations adopted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Fraudulent Action</w:t>
      </w:r>
      <w:r>
        <w:rPr>
          <w:rFonts w:ascii="Times New Roman;Times;Serif" w:hAnsi="Times New Roman;Times;Serif"/>
          <w:b w:val="false"/>
          <w:i w:val="false"/>
          <w:caps w:val="false"/>
          <w:smallCaps w:val="false"/>
          <w:sz w:val="20"/>
        </w:rPr>
        <w:t>” means, with respect to the applicable Party, any fraud, intentional breach, intentional misrepresentation (excluding negligent misrepresentation) or intentional omission by such Party or any Representative of such Party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consistently applied throughout the relevant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Approval</w:t>
      </w:r>
      <w:r>
        <w:rPr>
          <w:rFonts w:ascii="Times New Roman;Times;Serif" w:hAnsi="Times New Roman;Times;Serif"/>
          <w:b w:val="false"/>
          <w:i w:val="false"/>
          <w:caps w:val="false"/>
          <w:smallCaps w:val="false"/>
          <w:sz w:val="20"/>
        </w:rPr>
        <w:t>” means any consent or approval required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UPSC, and the Regional Entity, or any court or governmental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Granite 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Hazardous Substances</w:t>
      </w:r>
      <w:r>
        <w:rPr>
          <w:rFonts w:ascii="Times New Roman;Times;Serif" w:hAnsi="Times New Roman;Times;Serif"/>
          <w:b w:val="false"/>
          <w:i w:val="false"/>
          <w:caps w:val="false"/>
          <w:smallCaps w:val="false"/>
          <w:sz w:val="20"/>
        </w:rPr>
        <w:t>” means any substance, element, compound or mixture, whether solid, liquid or gaseous: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which is defined as “hazardous waste” or “hazardous substance” or “pollutant” or “contaminant” under any Environmental Law;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which is otherwise hazardous and is subject to regulation by any Governmental Authority;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petroleum hydrocarbons (other than naturally occurring petroleum hydrocarbons);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polychlorinated biphenyls (PCBs);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asbestos-containing materials (other than naturally occurring asbestos); (f) per or poly fluoroalkyl substances; or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radioactive materials (other than naturally occurring radioactive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means all obligations of a Person: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for borrowed money;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evidenced by notes, bonds, debentures or similar instruments;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for the deferred purchase price of goods or services (other than trade payables or accruals incurred in the ordinary course of business and not past due);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under capital leases;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secured by a Lien on the assets of such Person, whether or not such obligation has been assumed by such Person;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with respect to reimbursement obligations for letters of credit and other similar instruments (whether or not drawn);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in the nature of guaranties of the obligations described in clauses (a) through (f) above of any other Person or as to which such Person has an obligation substantially the economic equivalent of a guaranty;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for unpaid interest, prepayment penalties, premiums, costs and fees that would arise or become due as a result of the prepayment of any of the obligations referred to in the foregoing clauses (a) through (g); 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 respect of any other amount properly characterized as indebtedness in accordance with GAAP.</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Indemnified Party</w:t>
      </w:r>
      <w:r>
        <w:rPr>
          <w:rFonts w:ascii="Times New Roman;Times;Serif" w:hAnsi="Times New Roman;Times;Serif"/>
          <w:b w:val="false"/>
          <w:i w:val="false"/>
          <w:caps w:val="false"/>
          <w:smallCaps w:val="false"/>
          <w:sz w:val="20"/>
        </w:rPr>
        <w:t xml:space="preserve">” means any Person claiming indemnification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Indemnifying Party</w:t>
      </w:r>
      <w:r>
        <w:rPr>
          <w:rFonts w:ascii="Times New Roman;Times;Serif" w:hAnsi="Times New Roman;Times;Serif"/>
          <w:b w:val="false"/>
          <w:i w:val="false"/>
          <w:caps w:val="false"/>
          <w:smallCaps w:val="false"/>
          <w:sz w:val="20"/>
        </w:rPr>
        <w:t xml:space="preserve">” means any Person against whom a claim for indemnification is being asserted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ITC</w:t>
      </w:r>
      <w:r>
        <w:rPr>
          <w:rFonts w:ascii="Times New Roman;Times;Serif" w:hAnsi="Times New Roman;Times;Serif"/>
          <w:b w:val="false"/>
          <w:i w:val="false"/>
          <w:caps w:val="false"/>
          <w:smallCaps w:val="false"/>
          <w:sz w:val="20"/>
        </w:rPr>
        <w:t>” means the federal investment tax credit set forth in Section 48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Knowledge</w:t>
      </w:r>
      <w:r>
        <w:rPr>
          <w:rFonts w:ascii="Times New Roman;Times;Serif" w:hAnsi="Times New Roman;Times;Serif"/>
          <w:b w:val="false"/>
          <w:i w:val="false"/>
          <w:caps w:val="false"/>
          <w:smallCaps w:val="false"/>
          <w:sz w:val="20"/>
        </w:rPr>
        <w:t>” means the actual knowledge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 the case of Seller, [***],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in the case of Purchaser, [***], in each case, after reasonable inquiry of their direct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3.01(n)(i)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Law</w:t>
      </w:r>
      <w:r>
        <w:rPr>
          <w:rFonts w:ascii="Times New Roman;Times;Serif" w:hAnsi="Times New Roman;Times;Serif"/>
          <w:b w:val="false"/>
          <w:i w:val="false"/>
          <w:caps w:val="false"/>
          <w:smallCaps w:val="false"/>
          <w:sz w:val="20"/>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means any liability, Indebtedness, obligation, commitment, or expense, in each case, requiring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payment of a monetary amount;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type or fulfillment of an obligation, and in each case whether accrued, absolute, contingent, asserted, matured, unmatured, secured or unsecured.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means any lien, mortgage, pledge, security interest, charge or encumbrance of any kind (including any conditional sale or other title retention agreement, any lease in the nature thereof, and any agreement to give any lien or security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Losses</w:t>
      </w:r>
      <w:r>
        <w:rPr>
          <w:rFonts w:ascii="Times New Roman;Times;Serif" w:hAnsi="Times New Roman;Times;Serif"/>
          <w:b w:val="false"/>
          <w:i w:val="false"/>
          <w:caps w:val="false"/>
          <w:smallCaps w:val="false"/>
          <w:sz w:val="20"/>
        </w:rPr>
        <w:t xml:space="preserve">” means any and all claims (including third-party and inter-party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 except as otherwise provided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Major Project Change</w:t>
      </w:r>
      <w:r>
        <w:rPr>
          <w:rFonts w:ascii="Times New Roman;Times;Serif" w:hAnsi="Times New Roman;Times;Serif"/>
          <w:b w:val="false"/>
          <w:i w:val="false"/>
          <w:caps w:val="false"/>
          <w:smallCaps w:val="false"/>
          <w:sz w:val="20"/>
        </w:rPr>
        <w:t>” means a: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delay in the construction of a Project that is reasonably likely to result in a material delay in achieving commercial operations of such Project;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material increase in the costs of, or liability to, a Project or any Acquired Company that will not be borne by Seller or otherwise paid, extinguished or fully satisfied as of the Closing Date;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to the extent not taken into account in the Base Case Model, any fact, event, circumstance, condition or change that has a material adverse effect on the expected generation from or operating cost of a Project.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Projects or the Acquired Companies,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economic change generally affecting the international, national or regional electric generating industry or wholesale markets for electric power;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economic change in markets for commodities or supplies, including electric power, as applicable, used in connection with any Acquired Company;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any change in any Laws (including Environmental Laws), industry standards generally affecting the industry or markets in which any Acquired Company operates or GAAP;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any change in the financial condition of any Acquired Company caused by the transactions contemplated by this Agreement;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actions to be taken pursuant to or in accordance with this Agreement; or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xml:space="preserve">) the announcement or pendency of the transactions contemplated hereby, including any labor union activities or disputes;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the Acquired Companies, taken as whole, as compared to similarly situated businesses in the same industry and in the same geographical area, which shall be deemed to include the State of Utah.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MBR Authorization</w:t>
      </w:r>
      <w:r>
        <w:rPr>
          <w:rFonts w:ascii="Times New Roman;Times;Serif" w:hAnsi="Times New Roman;Times;Serif"/>
          <w:b w:val="false"/>
          <w:i w:val="false"/>
          <w:caps w:val="false"/>
          <w:smallCaps w:val="false"/>
          <w:sz w:val="20"/>
        </w:rPr>
        <w:t>” means a final order issued by FERC: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authorizing the wholesale sale of electric energy, capacity, and specified ancillary services at market-based rates pursuant to Section 205 of the FPA;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accepting a tariff pertaining to such sales;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Minimum Average 10-Year CAFD Yield</w:t>
      </w:r>
      <w:r>
        <w:rPr>
          <w:rFonts w:ascii="Times New Roman;Times;Serif" w:hAnsi="Times New Roman;Times;Serif"/>
          <w:b w:val="false"/>
          <w:i w:val="false"/>
          <w:caps w:val="false"/>
          <w:smallCaps w:val="false"/>
          <w:sz w:val="20"/>
        </w:rPr>
        <w:t>” means an Average 10-Year CAFD Yield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Minimum NPV</w:t>
      </w:r>
      <w:r>
        <w:rPr>
          <w:rFonts w:ascii="Times New Roman;Times;Serif" w:hAnsi="Times New Roman;Times;Serif"/>
          <w:b w:val="false"/>
          <w:i w:val="false"/>
          <w:caps w:val="false"/>
          <w:smallCaps w:val="false"/>
          <w:sz w:val="20"/>
        </w:rPr>
        <w:t>” means an incremental after-tax Net Present Value of at least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MW</w:t>
      </w:r>
      <w:r>
        <w:rPr>
          <w:rFonts w:ascii="Times New Roman;Times;Serif" w:hAnsi="Times New Roman;Times;Serif"/>
          <w:b w:val="false"/>
          <w:i w:val="false"/>
          <w:caps w:val="false"/>
          <w:smallCaps w:val="false"/>
          <w:sz w:val="20"/>
        </w:rPr>
        <w:t>” means megawatt (alternating 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NERC” </w:t>
      </w:r>
      <w:r>
        <w:rPr>
          <w:rFonts w:ascii="Times New Roman;Times;Serif" w:hAnsi="Times New Roman;Times;Serif"/>
          <w:b w:val="false"/>
          <w:i w:val="false"/>
          <w:caps w:val="false"/>
          <w:smallCaps w:val="false"/>
          <w:sz w:val="20"/>
        </w:rPr>
        <w:t>means the North American Electric Reliability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Net Present Value</w:t>
      </w:r>
      <w:r>
        <w:rPr>
          <w:rFonts w:ascii="Times New Roman;Times;Serif" w:hAnsi="Times New Roman;Times;Serif"/>
          <w:b w:val="false"/>
          <w:i w:val="false"/>
          <w:caps w:val="false"/>
          <w:smallCaps w:val="false"/>
          <w:sz w:val="20"/>
        </w:rPr>
        <w:t>” means, with respect to a Project,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the present value using the Discount Rate of the projected net after-tax cash flows generated by the applicable Project over its expected operational life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present value using the Discount Rate of the Purchase Price, as calculated in accordance with the Base Case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Option</w:t>
      </w:r>
      <w:r>
        <w:rPr>
          <w:rFonts w:ascii="Times New Roman;Times;Serif" w:hAnsi="Times New Roman;Times;Serif"/>
          <w:b w:val="false"/>
          <w:i w:val="false"/>
          <w:caps w:val="false"/>
          <w:smallCaps w:val="false"/>
          <w:sz w:val="20"/>
        </w:rPr>
        <w:t>” with respect to any Person means any security, right, subscription, warrant, option, “phantom” stock right or other Contract that gives the right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Order</w:t>
      </w:r>
      <w:r>
        <w:rPr>
          <w:rFonts w:ascii="Times New Roman;Times;Serif" w:hAnsi="Times New Roman;Times;Serif"/>
          <w:b w:val="false"/>
          <w:i w:val="false"/>
          <w:caps w:val="false"/>
          <w:smallCaps w:val="false"/>
          <w:sz w:val="20"/>
        </w:rPr>
        <w:t>” means any writ, judgment, injunction, ruling, decision, order or similar direction of any Governmental Authority, whether preliminary or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7.01(b)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PacifiCorp</w:t>
      </w:r>
      <w:r>
        <w:rPr>
          <w:rFonts w:ascii="Times New Roman;Times;Serif" w:hAnsi="Times New Roman;Times;Serif"/>
          <w:b w:val="false"/>
          <w:i w:val="false"/>
          <w:caps w:val="false"/>
          <w:smallCaps w:val="false"/>
          <w:sz w:val="20"/>
        </w:rPr>
        <w:t>” means PacifiCorp, an Oregon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w:t>
      </w:r>
      <w:r>
        <w:rPr>
          <w:rFonts w:ascii="Times New Roman;Times;Serif" w:hAnsi="Times New Roman;Times;Serif"/>
          <w:b w:val="false"/>
          <w:i w:val="false"/>
          <w:caps w:val="false"/>
          <w:smallCaps w:val="false"/>
          <w:sz w:val="20"/>
        </w:rPr>
        <w:t>” means all licenses, permits, consents, authorizations, approvals, ratifications, certifications, exemptions, variances, exceptions and similar consents granted or issued by or from, and filings and registrations with or delivered to,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Equity Encumbrances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those restrictions on transfer imposed by applicable securities laws;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or restrictions imposed on transfers set forth in the Constitutive Documents of the issuer;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Liens created pursuant to, and securing any Indebtedness under, the Financing Documents or Tax Equity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Exceptions</w:t>
      </w:r>
      <w:r>
        <w:rPr>
          <w:rFonts w:ascii="Times New Roman;Times;Serif" w:hAnsi="Times New Roman;Times;Serif"/>
          <w:b w:val="false"/>
          <w:i w:val="false"/>
          <w:caps w:val="false"/>
          <w:smallCaps w:val="false"/>
          <w:sz w:val="20"/>
        </w:rPr>
        <w:t>” means, with respect to the Real Property Rights,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Liens for Taxes, which are not due and payable as of the Closing Date or, if due, are: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building codes and zoning ordinances and other Laws of any Governmental Authority heretofore, now or hereafter enacted, made or issued by any such Governmental Authority affecting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easements, rights-of-way, covenants, conditions, restrictions, reservations, licenses, agreements and other similar matters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rights with respect to the ownership, mining, extraction and removal of minerals, of whatever kind and character (including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inchoate mechanic’s and materialmen’s liens for construction in progress and workmen’s, repairmen’s, warehousemen’s and carrier’s liens arising in the ordinary course of business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are being contested in good faith through appropriate proceedings and as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Lien</w:t>
      </w:r>
      <w:r>
        <w:rPr>
          <w:rFonts w:ascii="Times New Roman;Times;Serif" w:hAnsi="Times New Roman;Times;Serif"/>
          <w:b w:val="false"/>
          <w:i w:val="false"/>
          <w:caps w:val="false"/>
          <w:smallCaps w:val="false"/>
          <w:sz w:val="20"/>
        </w:rPr>
        <w:t>” means any: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mechanic’s, laborer’s, workmen’s, repairmen’s and carrier’s Liens, including all statutory Liens: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relating to obligations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Seller is contesting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as applicable;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for Taxes, assessments and other governmental charges not yet due and payable or, if due: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good faith deposits in connection with bids, tenders, leases, contracts or other agreements, including rent security deposits;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pledges or deposits to secure public or statutory obligations or appeal bonds;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in the case of personal property owned or held by the Acquired Companies, covenants and other restrictions in the Company Contracts;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Liens relating to or arising from the Financing Documents or Tax Equity Agreements;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encumbrance or exception reflected in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of the Execution Date, any Execution Date Proforma Title Policy,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as of the Closing Date, any Title Policy;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Liens against the assets of any Acquired Company that would not, individually or in the aggregate, interfere in any material adverse respect with the ability of such Acquired Company to use the property encumbered thereby for its intended purpose in connection with any Project; and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any other Liens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natural person, corporation, limited liability company, general partnership, limited partnership, proprietorship, other business, entity, organization, trust, union, association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Pledgor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PPAs</w:t>
      </w:r>
      <w:r>
        <w:rPr>
          <w:rFonts w:ascii="Times New Roman;Times;Serif" w:hAnsi="Times New Roman;Times;Serif"/>
          <w:b w:val="false"/>
          <w:i w:val="false"/>
          <w:caps w:val="false"/>
          <w:smallCaps w:val="false"/>
          <w:sz w:val="20"/>
        </w:rPr>
        <w:t>” means (a) the Energy Storage Agreements and (b) the Capacity Agreements, as the context may require. For the avoidance of doubt, for the purposes of this Agreement, each of the Project Companies need only have either the aforementioned Energy Storage Agreement or Capacity Agreement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caps w:val="false"/>
          <w:smallCaps w:val="false"/>
          <w:sz w:val="20"/>
        </w:rPr>
        <w:t>Pricing Adjustments</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DevCo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3.01(aa)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Prudent Industry Practices</w:t>
      </w:r>
      <w:r>
        <w:rPr>
          <w:rFonts w:ascii="Times New Roman;Times;Serif" w:hAnsi="Times New Roman;Times;Serif"/>
          <w:b w:val="false"/>
          <w:i w:val="false"/>
          <w:caps w:val="false"/>
          <w:smallCaps w:val="false"/>
          <w:sz w:val="20"/>
        </w:rPr>
        <w:t>” means those practices, methods, standards and procedures as are commonly used by a significant portion of those providing operating services on solar facilities and battery energy storage facilities, as applicable, of a type and size similar to the Projects,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PUHCA</w:t>
      </w:r>
      <w:r>
        <w:rPr>
          <w:rFonts w:ascii="Times New Roman;Times;Serif" w:hAnsi="Times New Roman;Times;Serif"/>
          <w:b w:val="false"/>
          <w:i w:val="false"/>
          <w:caps w:val="false"/>
          <w:smallCaps w:val="false"/>
          <w:sz w:val="20"/>
        </w:rPr>
        <w:t>” means the Public Utility Holding Company Act of 2005 and the implementing regulations of the FERC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 Payments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Indemnified Parties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Purchaser Indemnifying Parties</w:t>
      </w:r>
      <w:r>
        <w:rPr>
          <w:rFonts w:ascii="Times New Roman;Times;Serif" w:hAnsi="Times New Roman;Times;Serif"/>
          <w:b w:val="false"/>
          <w:i w:val="false"/>
          <w:caps w:val="false"/>
          <w:smallCaps w:val="false"/>
          <w:sz w:val="20"/>
        </w:rPr>
        <w:t>” means Purchaser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w:t>
      </w:r>
      <w:r>
        <w:rPr>
          <w:rFonts w:ascii="Times New Roman;Times;Serif" w:hAnsi="Times New Roman;Times;Serif"/>
          <w:b w:val="false"/>
          <w:i w:val="false"/>
          <w:caps w:val="false"/>
          <w:smallCaps w:val="false"/>
          <w:sz w:val="20"/>
        </w:rPr>
        <w:t>” means Clearway Energy Operating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 Guaranty</w:t>
      </w:r>
      <w:r>
        <w:rPr>
          <w:rFonts w:ascii="Times New Roman;Times;Serif" w:hAnsi="Times New Roman;Times;Serif"/>
          <w:b w:val="false"/>
          <w:i w:val="false"/>
          <w:caps w:val="false"/>
          <w:smallCaps w:val="false"/>
          <w:sz w:val="20"/>
        </w:rPr>
        <w:t xml:space="preserve">” means the Purchaser Parent Guaranty, dated as of the Execution Date and issued by the Purchaser Parent, in the form of </w:t>
      </w:r>
      <w:r>
        <w:rPr>
          <w:rFonts w:ascii="Times New Roman;Times;Serif" w:hAnsi="Times New Roman;Times;Serif"/>
          <w:b w:val="false"/>
          <w:i/>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Credit Transfer Guaranty</w:t>
      </w:r>
      <w:r>
        <w:rPr>
          <w:rFonts w:ascii="Times New Roman;Times;Serif" w:hAnsi="Times New Roman;Times;Serif"/>
          <w:b w:val="false"/>
          <w:i w:val="false"/>
          <w:caps w:val="false"/>
          <w:smallCaps w:val="false"/>
          <w:sz w:val="20"/>
        </w:rPr>
        <w:t xml:space="preserve">” means, any Guaranty Agreement to be entered into pursuant to any Tax Credit Transfer Agreement by Purchaser Parent, in favor of any Tax Credit Purchaser,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Equity Guaranty</w:t>
      </w:r>
      <w:r>
        <w:rPr>
          <w:rFonts w:ascii="Times New Roman;Times;Serif" w:hAnsi="Times New Roman;Times;Serif"/>
          <w:b w:val="false"/>
          <w:i w:val="false"/>
          <w:caps w:val="false"/>
          <w:smallCaps w:val="false"/>
          <w:sz w:val="20"/>
        </w:rPr>
        <w:t xml:space="preserve">” means each Guaranty Agreement to be entered into pursuant to the Tax Equity ECCA, Tax Equity LLCA or TE HoldCo MIPA, by Purchaser Parent, in favor of the Tax Equity Investor or TE HoldCo,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Real Property Rights</w:t>
      </w:r>
      <w:r>
        <w:rPr>
          <w:rFonts w:ascii="Times New Roman;Times;Serif" w:hAnsi="Times New Roman;Times;Serif"/>
          <w:b w:val="false"/>
          <w:i w:val="false"/>
          <w:caps w:val="false"/>
          <w:smallCaps w:val="false"/>
          <w:sz w:val="20"/>
        </w:rPr>
        <w:t>” means all real property rights and interests of the Acquired Companies, including all fee interests, options, leases, easements, land use rights, access easements, transmission line easements, rights to ingress and egress, any and all bids, grants, awards, applications, rights to negotiate and all other rights relating to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 has the meaning set forth in the definition of “Environmental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Regional Entity” </w:t>
      </w:r>
      <w:r>
        <w:rPr>
          <w:rFonts w:ascii="Times New Roman;Times;Serif" w:hAnsi="Times New Roman;Times;Serif"/>
          <w:b w:val="false"/>
          <w:i w:val="false"/>
          <w:caps w:val="false"/>
          <w:smallCaps w:val="false"/>
          <w:sz w:val="20"/>
        </w:rPr>
        <w:t>means the Western Electricity Coordinating Council.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Release</w:t>
      </w:r>
      <w:r>
        <w:rPr>
          <w:rFonts w:ascii="Times New Roman;Times;Serif" w:hAnsi="Times New Roman;Times;Serif"/>
          <w:b w:val="false"/>
          <w:i w:val="false"/>
          <w:caps w:val="false"/>
          <w:smallCaps w:val="false"/>
          <w:sz w:val="20"/>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means, for each Project: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“Independent Engineer Report” (or other equivalent term) (to be defined in the Tax Equity ECCA in respect of such Project);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“Environmental Report” (or other equivalent term) (to be defined in the Tax Equity ECCA in respect of such Project);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and the “Insurance Report” (or other equivalent term) (to be defined in the Tax Equity ECCA in respect of such Project); in each case,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including any bring downs of such reports delivered pursuant to the Tax Equity ECCA in respect of such Project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Representatives</w:t>
      </w:r>
      <w:r>
        <w:rPr>
          <w:rFonts w:ascii="Times New Roman;Times;Serif" w:hAnsi="Times New Roman;Times;Serif"/>
          <w:b w:val="false"/>
          <w:i w:val="false"/>
          <w:caps w:val="false"/>
          <w:smallCaps w:val="false"/>
          <w:sz w:val="20"/>
        </w:rPr>
        <w:t>” means with respect to any Person, the officers, directors, employees, counsel, accountants, financing advisors, consultants and agents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Interest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SC Funding</w:t>
      </w:r>
      <w:r>
        <w:rPr>
          <w:rFonts w:ascii="Times New Roman;Times;Serif" w:hAnsi="Times New Roman;Times;Serif"/>
          <w:b w:val="false"/>
          <w:i w:val="false"/>
          <w:caps w:val="false"/>
          <w:smallCaps w:val="false"/>
          <w:sz w:val="20"/>
        </w:rPr>
        <w:t>” means, the “Final Funding Date Contribution” (or other equivalent term) (to be defined in the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SC Funding Date</w:t>
      </w:r>
      <w:r>
        <w:rPr>
          <w:rFonts w:ascii="Times New Roman;Times;Serif" w:hAnsi="Times New Roman;Times;Serif"/>
          <w:b w:val="false"/>
          <w:i w:val="false"/>
          <w:caps w:val="false"/>
          <w:smallCaps w:val="false"/>
          <w:sz w:val="20"/>
        </w:rPr>
        <w:t>” means the date on which the SC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SC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SC Payment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Cash Diversion Guaranty</w:t>
      </w:r>
      <w:r>
        <w:rPr>
          <w:rFonts w:ascii="Times New Roman;Times;Serif" w:hAnsi="Times New Roman;Times;Serif"/>
          <w:b w:val="false"/>
          <w:i w:val="false"/>
          <w:caps w:val="false"/>
          <w:smallCaps w:val="false"/>
          <w:sz w:val="20"/>
        </w:rPr>
        <w:t>” means the Cash Diversion Guaranty (as defined in the Financing Agreement) to be entered into by Seller Parent, on behalf of Class B Member, in favor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Distribution</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Indemnified Parties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Seller Indemnifying Parties</w:t>
      </w:r>
      <w:r>
        <w:rPr>
          <w:rFonts w:ascii="Times New Roman;Times;Serif" w:hAnsi="Times New Roman;Times;Serif"/>
          <w:b w:val="false"/>
          <w:i w:val="false"/>
          <w:caps w:val="false"/>
          <w:smallCaps w:val="false"/>
          <w:sz w:val="20"/>
        </w:rPr>
        <w:t>” means Seller and each of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 Guaranty</w:t>
      </w:r>
      <w:r>
        <w:rPr>
          <w:rFonts w:ascii="Times New Roman;Times;Serif" w:hAnsi="Times New Roman;Times;Serif"/>
          <w:b w:val="false"/>
          <w:i w:val="false"/>
          <w:caps w:val="false"/>
          <w:smallCaps w:val="false"/>
          <w:sz w:val="20"/>
        </w:rPr>
        <w:t xml:space="preserve">” means that guaranty of Seller Parent, dated as of the Execution Date and attached hereto as </w:t>
      </w:r>
      <w:r>
        <w:rPr>
          <w:rFonts w:ascii="Times New Roman;Times;Serif" w:hAnsi="Times New Roman;Times;Serif"/>
          <w:b w:val="false"/>
          <w:i/>
          <w:caps w:val="false"/>
          <w:smallCaps w:val="false"/>
          <w:sz w:val="20"/>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Credit Transfer Guaranty</w:t>
      </w:r>
      <w:r>
        <w:rPr>
          <w:rFonts w:ascii="Times New Roman;Times;Serif" w:hAnsi="Times New Roman;Times;Serif"/>
          <w:b w:val="false"/>
          <w:i w:val="false"/>
          <w:caps w:val="false"/>
          <w:smallCaps w:val="false"/>
          <w:sz w:val="20"/>
        </w:rPr>
        <w:t xml:space="preserve">” means any Guaranty Agreement to be entered into pursuant to any Tax Credit Transfer Agreement by Clearway Renew LLC (or another Affiliate of Seller) on behalf of TE HoldCo (or another Acquired Company), in favor of any Tax Credit Purchaser,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Equity Guaranty</w:t>
      </w:r>
      <w:r>
        <w:rPr>
          <w:rFonts w:ascii="Times New Roman;Times;Serif" w:hAnsi="Times New Roman;Times;Serif"/>
          <w:b w:val="false"/>
          <w:i w:val="false"/>
          <w:caps w:val="false"/>
          <w:smallCaps w:val="false"/>
          <w:sz w:val="20"/>
        </w:rPr>
        <w:t xml:space="preserve">” means that certain Guaranty Agreement to be entered into pursuant to the Tax Equity ECCA by Clearway Renew, LLC (or another Affiliate of Seller) on behalf of Class B Member, in favor of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Target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Purchaser</w:t>
      </w:r>
      <w:r>
        <w:rPr>
          <w:rFonts w:ascii="Times New Roman;Times;Serif" w:hAnsi="Times New Roman;Times;Serif"/>
          <w:b w:val="false"/>
          <w:i w:val="false"/>
          <w:caps w:val="false"/>
          <w:smallCaps w:val="false"/>
          <w:sz w:val="20"/>
        </w:rPr>
        <w:t>” means any Person selected by Seller and its Affiliates, subject to the approval of Purchaser (which approval shall not be unreasonably withheld or delayed), as the counterparty to any Tax Credit Transfer Transaction entered into as part of the Tax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Transfer Agreement</w:t>
      </w:r>
      <w:r>
        <w:rPr>
          <w:rFonts w:ascii="Times New Roman;Times;Serif" w:hAnsi="Times New Roman;Times;Serif"/>
          <w:b w:val="false"/>
          <w:i w:val="false"/>
          <w:caps w:val="false"/>
          <w:smallCaps w:val="false"/>
          <w:sz w:val="20"/>
        </w:rPr>
        <w:t xml:space="preserve">” means any tax credit transfer agreement (or the equivalent), to be entered into by and between any Tax Credit Purchaser and TE HoldCo (or another Acquired Company), as applicable,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Transfer Transaction</w:t>
      </w:r>
      <w:r>
        <w:rPr>
          <w:rFonts w:ascii="Times New Roman;Times;Serif" w:hAnsi="Times New Roman;Times;Serif"/>
          <w:b w:val="false"/>
          <w:i w:val="false"/>
          <w:caps w:val="false"/>
          <w:smallCaps w:val="false"/>
          <w:sz w:val="20"/>
        </w:rPr>
        <w:t>” means a sale, transfer or other disposition of all or a portion of any ITC in accordance with Code Section 6418, in respect of a Project or a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Agreements</w:t>
      </w:r>
      <w:r>
        <w:rPr>
          <w:rFonts w:ascii="Times New Roman;Times;Serif" w:hAnsi="Times New Roman;Times;Serif"/>
          <w:b w:val="false"/>
          <w:i w:val="false"/>
          <w:caps w:val="false"/>
          <w:smallCaps w:val="false"/>
          <w:sz w:val="20"/>
        </w:rPr>
        <w:t>” means, collectively, the Tax Equity ECCA, the Tax Equity LLCA, the TE HoldCo MIPA, each Seller Tax Equity Guaranty, each Purchaser Tax Equity Guaranty, any Tax Credit Transfer Agreement, any Seller Tax Credit Transfer Guaranty and any Purchaser Tax Credit Transfer Guaranty, in each case in respect of the Project, upon execution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Bridge Loan</w:t>
      </w:r>
      <w:r>
        <w:rPr>
          <w:rFonts w:ascii="Times New Roman;Times;Serif" w:hAnsi="Times New Roman;Times;Serif"/>
          <w:b w:val="false"/>
          <w:i w:val="false"/>
          <w:caps w:val="false"/>
          <w:smallCaps w:val="false"/>
          <w:sz w:val="20"/>
        </w:rPr>
        <w:t>” means the “Tax Equity Bridge Loan” (as such term is defined in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Documents</w:t>
      </w:r>
      <w:r>
        <w:rPr>
          <w:rFonts w:ascii="Times New Roman;Times;Serif" w:hAnsi="Times New Roman;Times;Serif"/>
          <w:b w:val="false"/>
          <w:i w:val="false"/>
          <w:caps w:val="false"/>
          <w:smallCaps w:val="false"/>
          <w:sz w:val="20"/>
        </w:rPr>
        <w:t xml:space="preserve">” means each of the Tax Equity Agreements and each other agreement or certificate to be executed and delivered pursuant to the Tax Equity ECCA or the Tax Equity LLCA, or any Tax Credit Transfer Agreement in each case, pursuant to the terms and subject to the conditions of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ECCA</w:t>
      </w:r>
      <w:r>
        <w:rPr>
          <w:rFonts w:ascii="Times New Roman;Times;Serif" w:hAnsi="Times New Roman;Times;Serif"/>
          <w:b w:val="false"/>
          <w:i w:val="false"/>
          <w:caps w:val="false"/>
          <w:smallCaps w:val="false"/>
          <w:sz w:val="20"/>
        </w:rPr>
        <w:t xml:space="preserve">” means that certain Equity Capital Contribution Agreement, to be entered into between the Tax Equity Investor and Class B Member,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Financing</w:t>
      </w:r>
      <w:r>
        <w:rPr>
          <w:rFonts w:ascii="Times New Roman;Times;Serif" w:hAnsi="Times New Roman;Times;Serif"/>
          <w:b w:val="false"/>
          <w:i w:val="false"/>
          <w:caps w:val="false"/>
          <w:smallCaps w:val="false"/>
          <w:sz w:val="20"/>
        </w:rPr>
        <w:t>” means, with respect to the Projects and the Project Companies, any tax equity financing entered into in connection with the acquisition, sale, lease, financing or refinancing of a Project and a Project Company, or any direct or indirect parent thereof, which may include a Tax Credit Transfer Transaction.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Investor</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LLCA</w:t>
      </w:r>
      <w:r>
        <w:rPr>
          <w:rFonts w:ascii="Times New Roman;Times;Serif" w:hAnsi="Times New Roman;Times;Serif"/>
          <w:b w:val="false"/>
          <w:i w:val="false"/>
          <w:caps w:val="false"/>
          <w:smallCaps w:val="false"/>
          <w:sz w:val="20"/>
        </w:rPr>
        <w:t xml:space="preserve">” means that certain Amended and Restated Limited Liability Company Agreement of TE HoldCo, to be entered into between Class B Member and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Model</w:t>
      </w:r>
      <w:r>
        <w:rPr>
          <w:rFonts w:ascii="Times New Roman;Times;Serif" w:hAnsi="Times New Roman;Times;Serif"/>
          <w:b w:val="false"/>
          <w:i w:val="false"/>
          <w:caps w:val="false"/>
          <w:smallCaps w:val="false"/>
          <w:sz w:val="20"/>
        </w:rPr>
        <w:t xml:space="preserve">” means the “Base Case Model” (or other equivalent term) (to be defined in and updated pursuant to the Tax Equity ECCA), the initial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Loss</w:t>
      </w:r>
      <w:r>
        <w:rPr>
          <w:rFonts w:ascii="Times New Roman;Times;Serif" w:hAnsi="Times New Roman;Times;Serif"/>
          <w:b w:val="false"/>
          <w:i w:val="false"/>
          <w:caps w:val="false"/>
          <w:smallCaps w:val="false"/>
          <w:sz w:val="20"/>
        </w:rPr>
        <w:t>” means, for each Project, that any “Class A Member” (as defined in the Tax Equity ECCA) or the TE HoldCo shall lose the benefit of, shall not have the right to claim, shall suffer a disallowance or deferral of, shall suffer a delay in claiming or shall not claim, in each case, as the result of a “Final Determination” (as defined in Exhibit A to the Tax Equity ECCA) that there is no “reasonable basis” (within the meaning of Section 6662(d)(2)(B)(ii) of the Code) to claim all or any portion of the ITCs or accelerated depreciation, as applicable, contemplated by the Tax Equity Model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Loss Cap</w:t>
      </w:r>
      <w:r>
        <w:rPr>
          <w:rFonts w:ascii="Times New Roman;Times;Serif" w:hAnsi="Times New Roman;Times;Serif"/>
          <w:b w:val="false"/>
          <w:i w:val="false"/>
          <w:caps w:val="false"/>
          <w:smallCaps w:val="false"/>
          <w:sz w:val="20"/>
        </w:rPr>
        <w:t>” means an amount equal to the sum of (a) the maximum amount of Purchaser Parent’s liability under all Purchaser Tax Equity Guaranties, in the aggregate, plus (b) the maximum amount of Purchaser Parent’s liability under any Purchaser Tax Credit Transfer Guaranties or Tax Credit Transfer Agreements,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Return</w:t>
      </w:r>
      <w:r>
        <w:rPr>
          <w:rFonts w:ascii="Times New Roman;Times;Serif" w:hAnsi="Times New Roman;Times;Serif"/>
          <w:b w:val="false"/>
          <w:i w:val="false"/>
          <w:caps w:val="false"/>
          <w:smallCaps w:val="false"/>
          <w:sz w:val="20"/>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 MIPA</w:t>
      </w:r>
      <w:r>
        <w:rPr>
          <w:rFonts w:ascii="Times New Roman;Times;Serif" w:hAnsi="Times New Roman;Times;Serif"/>
          <w:b w:val="false"/>
          <w:i w:val="false"/>
          <w:caps w:val="false"/>
          <w:smallCaps w:val="false"/>
          <w:sz w:val="20"/>
        </w:rPr>
        <w:t xml:space="preserve">” means that certain Membership Interest Purchase Agreement for the sale by Pledgor Company and the purchase by TE HoldCo of, upon the occurrence of the First Phase MC Funding for the Projects, one hundred percent (100%) of the membership interests of the Project HoldCo that indirectly own the Projects, to be entered into between Pledgor Company and TE HoldCo,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Company</w:t>
      </w:r>
      <w:r>
        <w:rPr>
          <w:rFonts w:ascii="Times New Roman;Times;Serif" w:hAnsi="Times New Roman;Times;Serif"/>
          <w:b w:val="false"/>
          <w:i w:val="false"/>
          <w:caps w:val="false"/>
          <w:smallCaps w:val="false"/>
          <w:sz w:val="20"/>
        </w:rPr>
        <w:t>” means [***], or another nationally recognized title insurance company reasonably acceptable to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Policies</w:t>
      </w:r>
      <w:r>
        <w:rPr>
          <w:rFonts w:ascii="Times New Roman;Times;Serif" w:hAnsi="Times New Roman;Times;Serif"/>
          <w:b w:val="false"/>
          <w:i w:val="false"/>
          <w:caps w:val="false"/>
          <w:smallCaps w:val="false"/>
          <w:sz w:val="20"/>
        </w:rPr>
        <w:t>” means each Owner’s Policy for an ALTA 2006 extended coverage owner’s policy of title insurance, issued by the Title Company in favor of each Project Company or otherwise in form and substance reasonably acceptable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Proformas</w:t>
      </w:r>
      <w:r>
        <w:rPr>
          <w:rFonts w:ascii="Times New Roman;Times;Serif" w:hAnsi="Times New Roman;Times;Serif"/>
          <w:b w:val="false"/>
          <w:i w:val="false"/>
          <w:caps w:val="false"/>
          <w:smallCaps w:val="false"/>
          <w:sz w:val="20"/>
        </w:rPr>
        <w:t>” means, for each Project, that certain pro forma Title Policy to be delivered to the Tax Equity Investor pursuant to the Tax Equity ECCA, in form and substance reasonably acceptable to Purchaser.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Documents</w:t>
      </w:r>
      <w:r>
        <w:rPr>
          <w:rFonts w:ascii="Times New Roman;Times;Serif" w:hAnsi="Times New Roman;Times;Serif"/>
          <w:b w:val="false"/>
          <w:i w:val="false"/>
          <w:caps w:val="false"/>
          <w:smallCaps w:val="false"/>
          <w:sz w:val="20"/>
        </w:rPr>
        <w:t>” means this Agreement, the Ancillary Documents and the A&amp;R LLCA (upon execution thereof), the Seller Parent Guaranty and the Purchaser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Expenses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all unpaid costs, fees and expenses as of Closing for the negotiation, execution or delivery of this Agreement or any Transaction Document, or for the performance of the actions required at the consummation of the Closing existing on or prior to the Closing Date, but only to the extent such costs, fees and expenses are payable or reimbursable by the Target Company or any Acquired Company, including the fees, costs, disbursements and expenses of advisors with respect thereto;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all liabilities of the Target Company or any Acquired Company under or in connection with any severance or retention arrangements, stay bonuses, incentive bonuses, transaction bonuses, termination and change of control arrangements and similar obligations that exist on or prior to the Closing Date and that are owed or that will be triggered, either automatically or in combination with any other event, in whole or in part by the consummation of the Closing;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all fees and expenses, if any, incurred by the Target Company or any Acquired Company on or prior to the Closing Date in connection with obtaining the Seller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Transfer Taxes</w:t>
      </w:r>
      <w:r>
        <w:rPr>
          <w:rFonts w:ascii="Times New Roman;Times;Serif" w:hAnsi="Times New Roman;Times;Serif"/>
          <w:b w:val="false"/>
          <w:i w:val="false"/>
          <w:caps w:val="false"/>
          <w:smallCaps w:val="false"/>
          <w:sz w:val="20"/>
        </w:rPr>
        <w:t>” means any and all transfer Taxes (excluding Taxes measured in whole or in part by net income), including sales, use, real property transfer, recording, documentary, stamp, registration, stock, excise, conveyance, gross receipts, business and occupation, securities transactions, notarial, filing, permit, license, authorization and similar Taxes, fees, duties, levies, customs, tariffs, imposts, assessments, obligations and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Treasury Regulations</w:t>
      </w:r>
      <w:r>
        <w:rPr>
          <w:rFonts w:ascii="Times New Roman;Times;Serif" w:hAnsi="Times New Roman;Times;Serif"/>
          <w:b w:val="false"/>
          <w:i w:val="false"/>
          <w:caps w:val="false"/>
          <w:smallCaps w:val="false"/>
          <w:sz w:val="20"/>
        </w:rPr>
        <w:t>” means the final and temporary regulations promulgated by the U.S. Department of Treasury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UPSC</w:t>
      </w:r>
      <w:r>
        <w:rPr>
          <w:rFonts w:ascii="Times New Roman;Times;Serif" w:hAnsi="Times New Roman;Times;Serif"/>
          <w:b w:val="false"/>
          <w:i w:val="false"/>
          <w:caps w:val="false"/>
          <w:smallCaps w:val="false"/>
          <w:sz w:val="20"/>
        </w:rPr>
        <w:t>” means the Utah Public Service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w:t>
      </w:r>
      <w:r>
        <w:rPr>
          <w:rFonts w:ascii="Times New Roman;Times;Serif" w:hAnsi="Times New Roman;Times;Serif"/>
          <w:b/>
          <w:i/>
          <w:caps w:val="false"/>
          <w:smallCaps w:val="false"/>
          <w:sz w:val="20"/>
        </w:rPr>
        <w:t>Rules of 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As used herein, the singular shall include the plural, the masculine gender shall include the feminine and neuter and the neuter gender shall include the masculine and feminine unless the context otherwise indicates.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References</w:t>
      </w:r>
      <w:r>
        <w:rPr>
          <w:rFonts w:ascii="Times New Roman;Times;Serif" w:hAnsi="Times New Roman;Times;Serif"/>
          <w:b w:val="false"/>
          <w:i w:val="false"/>
          <w:caps w:val="false"/>
          <w:smallCaps w:val="false"/>
          <w:sz w:val="20"/>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amended and restated,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Accounting Terms</w:t>
      </w:r>
      <w:r>
        <w:rPr>
          <w:rFonts w:ascii="Times New Roman;Times;Serif" w:hAnsi="Times New Roman;Times;Serif"/>
          <w:b w:val="false"/>
          <w:i w:val="false"/>
          <w:caps w:val="false"/>
          <w:smallCaps w:val="false"/>
          <w:sz w:val="20"/>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SALE OF MEMBERSHIP INTERESTS AND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       </w:t>
      </w:r>
      <w:r>
        <w:rPr>
          <w:rFonts w:ascii="Times New Roman;Times;Serif" w:hAnsi="Times New Roman;Times;Serif"/>
          <w:b/>
          <w:i/>
          <w:caps w:val="false"/>
          <w:smallCaps w:val="false"/>
          <w:sz w:val="20"/>
        </w:rPr>
        <w:t>Purchase and Sale</w:t>
      </w:r>
      <w:r>
        <w:rPr>
          <w:rFonts w:ascii="Times New Roman;Times;Serif" w:hAnsi="Times New Roman;Times;Serif"/>
          <w:b w:val="false"/>
          <w:i w:val="false"/>
          <w:caps w:val="false"/>
          <w:smallCaps w:val="false"/>
          <w:sz w:val="20"/>
        </w:rPr>
        <w:t xml:space="preserve">. Seller agrees to sell to Purchaser, and Purchaser agrees to purchase from Seller, all of the right, title and interest of Seller in and to the Acquired Interests at the Closing on the terms and subject to the conditions set forth in this Agreement. In consideration for the sale, transfer and delivery of all of the Acquired Interests to Purchaser, Purchaser shall pay to Seller, or otherwise contribute in the manner specified pursuant to the Financing Agreement, in either case, in accordance with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 an aggregate amount equal to $118,653,818.49 (the “</w:t>
      </w:r>
      <w:r>
        <w:rPr>
          <w:rFonts w:ascii="Times New Roman;Times;Serif" w:hAnsi="Times New Roman;Times;Serif"/>
          <w:b w:val="false"/>
          <w:i/>
          <w:caps w:val="false"/>
          <w:smallCaps w:val="false"/>
          <w:sz w:val="20"/>
        </w:rPr>
        <w:t>Base Price</w:t>
      </w:r>
      <w:r>
        <w:rPr>
          <w:rFonts w:ascii="Times New Roman;Times;Serif" w:hAnsi="Times New Roman;Times;Serif"/>
          <w:b w:val="false"/>
          <w:i w:val="false"/>
          <w:caps w:val="false"/>
          <w:smallCaps w:val="false"/>
          <w:sz w:val="20"/>
        </w:rPr>
        <w:t xml:space="preserve">”), which shall be subject to adjustment in accordance with </w:t>
      </w:r>
      <w:r>
        <w:rPr>
          <w:rFonts w:ascii="Times New Roman;Times;Serif" w:hAnsi="Times New Roman;Times;Serif"/>
          <w:b w:val="false"/>
          <w:i/>
          <w:caps w:val="false"/>
          <w:smallCaps w:val="false"/>
          <w:sz w:val="20"/>
        </w:rPr>
        <w:t>Section 2.04(a) </w:t>
      </w:r>
      <w:r>
        <w:rPr>
          <w:rFonts w:ascii="Times New Roman;Times;Serif" w:hAnsi="Times New Roman;Times;Serif"/>
          <w:b w:val="false"/>
          <w:i w:val="false"/>
          <w:caps w:val="false"/>
          <w:smallCaps w:val="false"/>
          <w:sz w:val="20"/>
        </w:rPr>
        <w:t>(such adjusted Base Price, the “</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w:t>
      </w:r>
      <w:r>
        <w:rPr>
          <w:rFonts w:ascii="Times New Roman;Times;Serif" w:hAnsi="Times New Roman;Times;Serif"/>
          <w:b/>
          <w:i/>
          <w:caps w:val="false"/>
          <w:smallCaps w:val="false"/>
          <w:sz w:val="20"/>
        </w:rPr>
        <w:t>Payment of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terms and subject to the conditions hereinafter set forth, in consideration of the delivery by Seller of the Acquired Interests, Purchaser shall pay to Seller the amounts described in clauses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 (the “</w:t>
      </w:r>
      <w:r>
        <w:rPr>
          <w:rFonts w:ascii="Times New Roman;Times;Serif" w:hAnsi="Times New Roman;Times;Serif"/>
          <w:b w:val="false"/>
          <w:i/>
          <w:caps w:val="false"/>
          <w:smallCaps w:val="false"/>
          <w:sz w:val="20"/>
        </w:rPr>
        <w:t>Purchase Price Payments</w:t>
      </w:r>
      <w:r>
        <w:rPr>
          <w:rFonts w:ascii="Times New Roman;Times;Serif" w:hAnsi="Times New Roman;Times;Serif"/>
          <w:b w:val="false"/>
          <w:i w:val="false"/>
          <w:caps w:val="false"/>
          <w:smallCaps w:val="false"/>
          <w:sz w:val="20"/>
        </w:rPr>
        <w:t>”), at the times specified therein, in each case, by wire transfer of immediately available funds to the Equity Capital Contribution Account (for application in accordance with Section 7.9 of the applicable Financing Agreement), or to such other account or accounts as designated by Seller, in accordance with written notice delivered by Seller to Purchaser not less than two (2) Business Days prior to the date such Purchase Price Payment is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Closing, Purchaser shall pay to Seller an amount equal to [***] of the Base Price (the “</w:t>
      </w:r>
      <w:r>
        <w:rPr>
          <w:rFonts w:ascii="Times New Roman;Times;Serif" w:hAnsi="Times New Roman;Times;Serif"/>
          <w:b w:val="false"/>
          <w:i/>
          <w:caps w:val="false"/>
          <w:smallCaps w:val="false"/>
          <w:sz w:val="20"/>
        </w:rPr>
        <w:t>First Phase MC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 later than the SC Funding Date, Purchaser shall pay to Seller a dollar amount equal to (i) the Base Price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(ii) the First Phase MC Payment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(iii) the amount of the Base Price attributable to the Delayed Project (if applicable pursuant to the terms of the TE HoldCo MIPA) (the “</w:t>
      </w:r>
      <w:r>
        <w:rPr>
          <w:rFonts w:ascii="Times New Roman;Times;Serif" w:hAnsi="Times New Roman;Times;Serif"/>
          <w:b w:val="false"/>
          <w:i/>
          <w:caps w:val="false"/>
          <w:smallCaps w:val="false"/>
          <w:sz w:val="20"/>
        </w:rPr>
        <w:t>SC Payment</w:t>
      </w:r>
      <w:r>
        <w:rPr>
          <w:rFonts w:ascii="Times New Roman;Times;Serif" w:hAnsi="Times New Roman;Times;Serif"/>
          <w:b w:val="false"/>
          <w:i w:val="false"/>
          <w:caps w:val="false"/>
          <w:smallCaps w:val="false"/>
          <w:sz w:val="20"/>
        </w:rPr>
        <w:t>” and the date such payment becomes due and payable, the “</w:t>
      </w:r>
      <w:r>
        <w:rPr>
          <w:rFonts w:ascii="Times New Roman;Times;Serif" w:hAnsi="Times New Roman;Times;Serif"/>
          <w:b w:val="false"/>
          <w:i/>
          <w:caps w:val="false"/>
          <w:smallCaps w:val="false"/>
          <w:sz w:val="20"/>
        </w:rPr>
        <w:t>SC Payment Date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later than the Delayed Project Installment Date, Purchaser shall pay to Seller an amount, if any (the “</w:t>
      </w:r>
      <w:r>
        <w:rPr>
          <w:rFonts w:ascii="Times New Roman;Times;Serif" w:hAnsi="Times New Roman;Times;Serif"/>
          <w:b w:val="false"/>
          <w:i/>
          <w:caps w:val="false"/>
          <w:smallCaps w:val="false"/>
          <w:sz w:val="20"/>
        </w:rPr>
        <w:t>Delayed Project Installment Payment</w:t>
      </w:r>
      <w:r>
        <w:rPr>
          <w:rFonts w:ascii="Times New Roman;Times;Serif" w:hAnsi="Times New Roman;Times;Serif"/>
          <w:b w:val="false"/>
          <w:i w:val="false"/>
          <w:caps w:val="false"/>
          <w:smallCaps w:val="false"/>
          <w:sz w:val="20"/>
        </w:rPr>
        <w:t xml:space="preserve">”) equal to the portion of the Base Price attributable to the Delayed Project, as may be adjusted pursuant to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avoidance of doubt, on the earlier of the “Discharge Date” and the “Term Conversion Date” (in each case, as defined in the Financing Agreement), the Parties agree that any amounts remaining on deposit in the Equity Capital Contribution Account, as contemplated by Section 7.9(b) of the Financing Agreement, shall be promptly transferred to Seller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       </w:t>
      </w:r>
      <w:r>
        <w:rPr>
          <w:rFonts w:ascii="Times New Roman;Times;Serif" w:hAnsi="Times New Roman;Times;Serif"/>
          <w:b/>
          <w:i/>
          <w:caps w:val="false"/>
          <w:smallCaps w:val="false"/>
          <w:sz w:val="20"/>
        </w:rPr>
        <w:t>Closing; Additional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the closing of the transactions described in </w:t>
      </w:r>
      <w:r>
        <w:rPr>
          <w:rFonts w:ascii="Times New Roman;Times;Serif" w:hAnsi="Times New Roman;Times;Serif"/>
          <w:b w:val="false"/>
          <w:i/>
          <w:caps w:val="false"/>
          <w:smallCaps w:val="false"/>
          <w:sz w:val="20"/>
        </w:rPr>
        <w:t>Section 2.01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will take place remotely via the electronic exchange of documents and signatures no later than: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two (2) Business Days following the fulfillment or waiver of the conditions set forth in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xml:space="preserve"> (other than those conditions that by their nature are to be satisfied on the Closing Date);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such other time as may be determined by mutual agreement of Seller and Purchaser (the day on which the Closing takes place being the “</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Purchaser shall pay the First Phase MC Payment by wire transfer of immediately available funds to the account or accounts as designated by Seller in writing pursuant to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Party shall deliver, or cause to be delivered, to the other Party the certificates and other deliverables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execution by both Parties of the Assignment of Membership Interests and all other agreements, documents, instruments or certificates required to be delivered at or prior to the Closing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applicable, Seller shall deliver to Purchaser a certificate or certificates representing the Acquired Interests, duly endorsed for transfer to Purchaser or accompanied by one or more membership interests powers duly endorsed for transfer to Purchaser;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the SC Payment Date,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Purchaser shall pay the SC Payment by wire transfer of immediately available funds to the account or accounts as designated by Seller in writing pursuant to </w:t>
      </w:r>
      <w:r>
        <w:rPr>
          <w:rFonts w:ascii="Times New Roman;Times;Serif" w:hAnsi="Times New Roman;Times;Serif"/>
          <w:b w:val="false"/>
          <w:i/>
          <w:caps w:val="false"/>
          <w:smallCaps w:val="false"/>
          <w:sz w:val="20"/>
        </w:rPr>
        <w:t>Section 2.02(a)(ii)</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Seller shall deliver to Purchaser any pro forma Closing Date Endorsements and Title Proformas covering the Insured Property Rights that have been provided to the Tax Equity Investor between the Closing Date and the SC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the Delayed Project Installment Date (if applicable),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Purchaser shall make the Delayed Project Installment Payment by wire transfer of immediately available funds to the account or accounts as designated by Seller in writing prior to the Delayed Project Installment Date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Seller shall deliver to Purchaser any pro forma Closing Date Endorsements and Title Proformas covering the Insured Property Rights that have been provided to the Tax Equity Investor between the SC Funding Date and the Delayed Project Installment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       </w:t>
      </w:r>
      <w:r>
        <w:rPr>
          <w:rFonts w:ascii="Times New Roman;Times;Serif" w:hAnsi="Times New Roman;Times;Serif"/>
          <w:b/>
          <w:i/>
          <w:caps w:val="false"/>
          <w:smallCaps w:val="false"/>
          <w:sz w:val="20"/>
        </w:rPr>
        <w:t>Adjusted Purchase Price Amount</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SC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Adjusted Purchase Price Amount is positive, then, no later than ten (10) Business Days following the SC Payment Date, Purchaser shall pay to Seller a dollar amount equal to the sum, in the aggregate, of the Adjusted Purchase Price Amount, which amount shall be paid to such account or accounts as designated by Seller, in accordance with written notice delivered by Seller to Purchaser not less than two (2) Business Days prior to the date such payment is required to be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Adjusted Purchase Price Amount is negative, then, no later than ten (10) Business Days following the SC Payment Date, Seller shall pay to Purchaser a dollar amount equal to the sum, in the aggregate, of the Adjusted Purchase Price Amount which amount shall be paid to such account or accounts as designated by Purchaser, in accordance with written notice delivered by Purchaser to Seller not less than two (2) Business Days prior to the date such payment is required to be made.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payments made under this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 xml:space="preserve"> will be treated as an adjustment to the Base Price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 if there is as Delayed Project, then the portion of the Adjusted Purchase Price Amount attributable to the Delayed Project shall, if positive, be paid by Purchaser, or if negative, be paid by Seller, as applicable, no later than the Delayed Project Installment Date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       </w:t>
      </w:r>
      <w:r>
        <w:rPr>
          <w:rFonts w:ascii="Times New Roman;Times;Serif" w:hAnsi="Times New Roman;Times;Serif"/>
          <w:b/>
          <w:i/>
          <w:caps w:val="false"/>
          <w:smallCaps w:val="false"/>
          <w:sz w:val="20"/>
        </w:rPr>
        <w:t>Certain Proceeds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Notwithstanding anything herein to the contrary, in the event that any time following the Closing Date, Purchaser (if Purchaser receives any such payment separately and not from any Acquired Company) or any Acquired Company receives any payment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liquidated damages received in connection with the development, design, construction, installation or commissioning of a Project through “Substantial Completion” (as such term is defined in the EPC Contract in respect of such Project), and that are not contemplated to be receivable by any Acquired Company in the Base Case Model, including liquidated damages received as a deduction or as a setoff from amounts otherwise payable by any Project Company, in each case, under any contract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provided that term conversion or full repayment of the loans under the Financing Documents has occurred,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proceeds of any loan drawn under the Financing Documents on or prior to the date that is six (6) months after the SC Funding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proceeds received under the Tax Equity Documents on or prior to the date that is six (6) months after the SC Funding Date,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proceeds received under any “Interest Rate Agreement” (as defined in the Financing Agreement) by any Acquired Company, which proceeds relate to the breakage or other termination of any such Interest Rate Agreement in connection with the term conversion or full repayment of the loans under the Financing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each Project, upon the occurrence of the earlier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“Discharge Date” (as defined in the Financing Agreement in respect of such Project),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“Term Conversion Date” (as defined in the Financing Agreement in respect of such Project), all amounts remaining on deposit in the Equity Capital Contribution Account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not already included in the Base Case Model, any amount received by any Acquired Company in respect of the reimbursement for any cost or expense incurred by or on behalf of such Acquired Company in connection with the development, design, construction, installation or commissioning of a Project through “Substantial Completion” (as such term is defined in the EPC Contract in respect of such Project), including any reimbursement of amounts paid under any interconnection agreement or related contract, or any engineering, procurement and construction agreement, in each case,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amounts released from any completion escrow account, or otherwise from reserves, in each case, funded by or on behalf of Seller or, prior to the Closing, any Acquired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amounts released from any completion escrow account funded by or on behalf of Seller or, prior to the Closing, any Acquired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amounts described in any of clauses (i) through (vi) of Section 5.07(a)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Purchaser shall cause the applicable Acquired Company to promptly refund or pay such amount to Seller or its designee (or otherwise at the times and in the manner as specified in Section 5.07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2.06.       </w:t>
      </w:r>
      <w:r>
        <w:rPr>
          <w:rFonts w:ascii="Times New Roman;Times;Serif" w:hAnsi="Times New Roman;Times;Serif"/>
          <w:b/>
          <w:i/>
          <w:caps w:val="false"/>
          <w:smallCaps w:val="false"/>
          <w:sz w:val="20"/>
        </w:rPr>
        <w:t>Tax Reporting of Transaction</w:t>
      </w:r>
      <w:r>
        <w:rPr>
          <w:rFonts w:ascii="Times New Roman;Times;Serif" w:hAnsi="Times New Roman;Times;Serif"/>
          <w:b w:val="false"/>
          <w:i w:val="false"/>
          <w:caps w:val="false"/>
          <w:smallCaps w:val="false"/>
          <w:sz w:val="20"/>
        </w:rPr>
        <w:t>. For federal income tax purposes, the Parties agree to report the transactions effectuated by this Agreement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prior to the Closing, each of the Target Company, Class B Member, and TE HoldCo shall be treated as a disregarded entity separate from Seller (or if Seller is a disregarded entity for U.S. federal income tax purposes, the Person or Persons owning Seller that are not disregarded for such purposes)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acknowledge that for U.S. federal, and applicable state and local income Tax purposes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purchase and sale of the Acquired Interests contemplated by this Agreement will be treated, in accordance with Revenue Ruling 99-5, Situation 1, as a sale by Seller and a purchase by Purchaser of a pro-rata portion of TE HoldCo assets followed by a contribution pursuant to Section 721 of the Code by each of Purchaser and Seller of their respective portions of such TE HoldCo assets to the Target Company in exchange for the Acquired Interests or the Retained Interests, as applicable, as a result of which the Target Company shall become a partnership between Seller and Purchaser for U.S. federal income tax purposes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Seller Distribution shall be disregarded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agree that, for U.S. federal income Tax purposes, and any applicable state or local income Tax purposes, the Purchase Price, as adjusted under this Agreement, plus any Liabilities or other items treated as amounts realized for U.S. federal income Tax purposes, shall be allocated among the assets of the TE HoldCo in accordance with Section 1060 of the Code and the Treasury Regulations promulgated thereunder (including the application of Sections 741, 751, 752, and 755 of the Code), including for purposes of the statement required under Treasury Regulation Section 1.751-1(a)(3) and in each case in a manner consistent with the Appraisal and the related cost segregation report obtained pursuant to the Tax Equity Agreements (the “</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On or before the 30th day after the Closing Date, Purchaser shall deliver to Seller its proposed Allocation Schedule for Seller’s review and comment. Purchaser will work in good faith to incorporate Seller’s reasonable comments, at which time the Allocation Schedule shall become binding for the Parties. Seller, Purchaser and their respective Affiliates shall report the transactions contemplated hereby on all Tax Returns, including IRS Form 8594, in a manner consistent with the Allocation Schedule. Seller and Purchaser agree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be bound by the Allocation Schedule agreed upon under this </w:t>
      </w:r>
      <w:r>
        <w:rPr>
          <w:rFonts w:ascii="Times New Roman;Times;Serif" w:hAnsi="Times New Roman;Times;Serif"/>
          <w:b w:val="false"/>
          <w:i/>
          <w:caps w:val="false"/>
          <w:smallCaps w:val="false"/>
          <w:sz w:val="20"/>
        </w:rPr>
        <w:t>Section 2.06(c)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prepare and file, and cause their respective Affiliates to prepare and file, all Tax Returns (including IRS Form 8594) in a manner consistent with the Allocation Schedule;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take no position, and cause their respective Affiliates to take no position, inconsistent with the Allocation Schedule in any Tax Return,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making of the initial capital contribution to be made by the Tax Equity Investor to TE HoldCo, and the issuance to the Tax Equity Investor of the Class A membership interests in TE HoldCo, in each case, pursuant to the Tax Equity ECCA on the First Phase MC Funding Date, and the making of the capital contribution to be made by the Class B Member to TE HoldCo, which shall be deemed to occur prior to the Closing, in accordance with Revenue Ruling 99-5, Situation 2, each of Seller and the Tax Equity Investor is treated as contributing cash or property to TE HoldCo in exchange for an interest in TE HoldCo, as a result of which TE HoldCo shall become a partnership between Seller and the Tax Equity Investor for U.S.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the date of the First Phase MC Funding, TE HoldCo will acquire, and the Pledgor Company will sell, all the limited liability company membership interests of Project HoldCo that indirectly owns the Projects (and, indirectly, all the limited liability company interests in the Project Companies that directly owns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       </w:t>
      </w:r>
      <w:r>
        <w:rPr>
          <w:rFonts w:ascii="Times New Roman;Times;Serif" w:hAnsi="Times New Roman;Times;Serif"/>
          <w:b/>
          <w:i/>
          <w:caps w:val="false"/>
          <w:smallCaps w:val="false"/>
          <w:sz w:val="20"/>
        </w:rPr>
        <w:t>Representations and Warranties with respect to Seller and the Acquired Companies</w:t>
      </w:r>
      <w:r>
        <w:rPr>
          <w:rFonts w:ascii="Times New Roman;Times;Serif" w:hAnsi="Times New Roman;Times;Serif"/>
          <w:b w:val="false"/>
          <w:i w:val="false"/>
          <w:caps w:val="false"/>
          <w:smallCaps w:val="false"/>
          <w:sz w:val="20"/>
        </w:rPr>
        <w:t>. Seller hereby represents and warrants to Purchaser, as of the Execution Date and the Closing Date, as follows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representation and warranty set forth in this </w:t>
      </w:r>
      <w:r>
        <w:rPr>
          <w:rFonts w:ascii="Times New Roman;Times;Serif" w:hAnsi="Times New Roman;Times;Serif"/>
          <w:b w:val="false"/>
          <w:i/>
          <w:caps w:val="false"/>
          <w:smallCaps w:val="false"/>
          <w:sz w:val="20"/>
        </w:rPr>
        <w:t>Section 3.01</w:t>
      </w:r>
      <w:r>
        <w:rPr>
          <w:rFonts w:ascii="Times New Roman;Times;Serif" w:hAnsi="Times New Roman;Times;Serif"/>
          <w:b w:val="false"/>
          <w:i w:val="false"/>
          <w:caps w:val="false"/>
          <w:smallCaps w:val="false"/>
          <w:sz w:val="20"/>
        </w:rPr>
        <w:t xml:space="preserve"> and expressly stated to be made only as of a specified date shall be made solely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val="false"/>
          <w:caps w:val="false"/>
          <w:smallCaps w:val="false"/>
          <w:sz w:val="20"/>
        </w:rPr>
        <w:t>. Seller is a limited liability company duly formed, validly existing and in good standing under the Laws of the State of Delaware. Seller has full power and authority to execute and deliver this Agreement and the other Transaction Documents to be executed and delivered by Seller hereunder, and to perform its obligations hereunder and thereunder and to consummate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val="false"/>
          <w:caps w:val="false"/>
          <w:smallCaps w:val="false"/>
          <w:sz w:val="20"/>
        </w:rPr>
        <w:t>. All actions or proceedings necessary to authorize the execution and delivery by Seller of this Agreement and the other Transaction Documents, and the performance by Seller of its obligations hereunder and thereunder have been duly and validly taken. This Agreement and, at the Closing, each other Transaction Document,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3.01(c)</w:t>
      </w:r>
      <w:r>
        <w:rPr>
          <w:rFonts w:ascii="Times New Roman;Times;Serif" w:hAnsi="Times New Roman;Times;Serif"/>
          <w:b w:val="false"/>
          <w:i w:val="false"/>
          <w:caps w:val="false"/>
          <w:smallCaps w:val="false"/>
          <w:sz w:val="20"/>
        </w:rPr>
        <w:t> of the Disclosure Schedules (the “</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and except as would not, individually or in the aggregate, reasonably be expected to be materially adverse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ability of Seller to consummate the transactions contemplated by this Agreement or to perform its obligations hereunder,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Acquired Companies, taken as a whole,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 The execution, delivery and performance of this Agreement and the other Transaction Documents by Seller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the Constitutive Documents of Seller or any Acquired Company or any material Contract to which Seller, or any Company Contract to which any Acquired Company,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Acquired Interests, any equity interests of any Acquired Company or any assets or properties of any Acquired Company;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Seller or any Acquired Company or any rights or benefits are to be received by any Person, under any Contract to which Seller or any Acquired Company is a party;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violate in any material respect any applicable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Regulatory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3.01(e) </w:t>
      </w:r>
      <w:r>
        <w:rPr>
          <w:rFonts w:ascii="Times New Roman;Times;Serif" w:hAnsi="Times New Roman;Times;Serif"/>
          <w:b w:val="false"/>
          <w:i w:val="false"/>
          <w:caps w:val="false"/>
          <w:smallCaps w:val="false"/>
          <w:sz w:val="20"/>
        </w:rPr>
        <w:t>of the Disclosure Schedules (“</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no Governmental Approval is required on the part of Seller or any Acquired Company in connection with the execution, delivery and performance of this Agreement or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caps w:val="false"/>
          <w:smallCaps w:val="false"/>
          <w:sz w:val="20"/>
        </w:rPr>
        <w:t>Schedule 3.01(f)</w:t>
      </w:r>
      <w:r>
        <w:rPr>
          <w:rFonts w:ascii="Times New Roman;Times;Serif" w:hAnsi="Times New Roman;Times;Serif"/>
          <w:b w:val="false"/>
          <w:i w:val="false"/>
          <w:caps w:val="false"/>
          <w:smallCaps w:val="false"/>
          <w:sz w:val="20"/>
        </w:rPr>
        <w:t xml:space="preserve"> of the Disclosure Schedules, and except for Actions or Proceedings in respect of Environmental Laws that are governed exclusively by </w:t>
      </w:r>
      <w:r>
        <w:rPr>
          <w:rFonts w:ascii="Times New Roman;Times;Serif" w:hAnsi="Times New Roman;Times;Serif"/>
          <w:b w:val="false"/>
          <w:i/>
          <w:caps w:val="false"/>
          <w:smallCaps w:val="false"/>
          <w:sz w:val="20"/>
        </w:rPr>
        <w:t>Section 3.01(p)(ii)</w:t>
      </w:r>
      <w:r>
        <w:rPr>
          <w:rFonts w:ascii="Times New Roman;Times;Serif" w:hAnsi="Times New Roman;Times;Serif"/>
          <w:b w:val="false"/>
          <w:i w:val="false"/>
          <w:caps w:val="false"/>
          <w:smallCaps w:val="false"/>
          <w:sz w:val="20"/>
        </w:rPr>
        <w:t>, there are no Actions or Proceedings pending or, to the Knowledge of Seller, threatened as of the Execution Date against Seller or any Acquired Company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affect Seller or any Acquired Company, or any of their assets or properties (including the Projects), except, solely in respect of Seller, which would not reasonably be expected to have a material adverse effect on Seller’s ability to perform under this Agreement;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would reasonably be expected to result in the issuance of an Order restraining, enjoining or otherwise prohibiting or making illegal the consummation of any of the transactions contemplated by this Agreement. None of Seller or any Acquired Company is subject to any Order which materially restricts the operation of its business or which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3.01(g)</w:t>
      </w:r>
      <w:r>
        <w:rPr>
          <w:rFonts w:ascii="Times New Roman;Times;Serif" w:hAnsi="Times New Roman;Times;Serif"/>
          <w:b w:val="false"/>
          <w:i w:val="false"/>
          <w:caps w:val="false"/>
          <w:smallCaps w:val="false"/>
          <w:sz w:val="20"/>
        </w:rPr>
        <w:t> of the Disclosure Schedules, no Person has any claim against Seller or any Acquired Company for a finder’s fee, brokerage commission or similar payment directly or indirectly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xml:space="preserve">. Neither Seller nor any Acquired Company is in material violation of any material Law or Order applicable to the Acquired Companies or the Projects, or by which any of the Acquired Interests are bound or subject. Notwithstanding the foregoing, compliance with Environmental Laws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None of Seller nor any Acquired Company has received notice from any Governmental Authority of any material violation of any material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Company and the Acquired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Acquired Company is a limited liability company validly existing and in good standing under the Laws of Delaware, and has full power and authority to conduct its business as and to the extent now conducted and to own, use and lease its assets. Each Acquired Company is duly qualified, licensed or admitted to do business and is in good standing in the applicable jurisdictions specified in </w:t>
      </w:r>
      <w:r>
        <w:rPr>
          <w:rFonts w:ascii="Times New Roman;Times;Serif" w:hAnsi="Times New Roman;Times;Serif"/>
          <w:b w:val="false"/>
          <w:i/>
          <w:caps w:val="false"/>
          <w:smallCaps w:val="false"/>
          <w:sz w:val="20"/>
        </w:rPr>
        <w:t>Schedule 3.01(i)</w:t>
      </w:r>
      <w:r>
        <w:rPr>
          <w:rFonts w:ascii="Times New Roman;Times;Serif" w:hAnsi="Times New Roman;Times;Serif"/>
          <w:b w:val="false"/>
          <w:i w:val="false"/>
          <w:caps w:val="false"/>
          <w:smallCaps w:val="false"/>
          <w:sz w:val="20"/>
        </w:rPr>
        <w:t> of the Disclosure Schedules, which are the only jurisdictions in which the ownership, use or leasing of such Acquired Company’s assets, or the conduct or nature of its businesses, makes such qualification, licensing or admission necessary, except in those jurisdictions where the failure to be so qualified, licensed or admitted to do business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issued and outstanding Acquired Interests are owned directly, beneficially and of record by Seller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and for the ownership by the Tax Equity Investor following the consummation of the transactions contemplated by the Tax Equity ECCA after the First Phase MC Funding, all of the issued and outstanding equity interests of the Acquired Companies (other than the Target Company) are owned directly or indirectly, beneficially and of record by the Target Company,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of the Disclosure Schedules. All of the equity interests of the Acquired Companies have been duly authorized, validly issued and are fully paid and non-assessable and have been issued in compliance with federal and state securities laws.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name of each director and officer (or similar positions) of each Acquired Company, and the position with such Acquired Company held by each, are listed in </w:t>
      </w:r>
      <w:r>
        <w:rPr>
          <w:rFonts w:ascii="Times New Roman;Times;Serif" w:hAnsi="Times New Roman;Times;Serif"/>
          <w:b w:val="false"/>
          <w:i/>
          <w:caps w:val="false"/>
          <w:smallCaps w:val="false"/>
          <w:sz w:val="20"/>
        </w:rPr>
        <w:t>Schedule 3.01(i)(iii) </w:t>
      </w:r>
      <w:r>
        <w:rPr>
          <w:rFonts w:ascii="Times New Roman;Times;Serif" w:hAnsi="Times New Roman;Times;Serif"/>
          <w:b w:val="false"/>
          <w:i w:val="false"/>
          <w:caps w:val="false"/>
          <w:smallCaps w:val="false"/>
          <w:sz w:val="20"/>
        </w:rPr>
        <w:t>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Seller has, prior to the execution of this Agreement, delivered to Purchaser true and complete copies of the Constitutive Documents of each Acquired Company as in effect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as set forth in Part I of </w:t>
      </w:r>
      <w:r>
        <w:rPr>
          <w:rFonts w:ascii="Times New Roman;Times;Serif" w:hAnsi="Times New Roman;Times;Serif"/>
          <w:b w:val="false"/>
          <w:i/>
          <w:caps w:val="false"/>
          <w:smallCaps w:val="false"/>
          <w:sz w:val="20"/>
        </w:rPr>
        <w:t>Schedule 3.01(i)(v) </w:t>
      </w:r>
      <w:r>
        <w:rPr>
          <w:rFonts w:ascii="Times New Roman;Times;Serif" w:hAnsi="Times New Roman;Times;Serif"/>
          <w:b w:val="false"/>
          <w:i w:val="false"/>
          <w:caps w:val="false"/>
          <w:smallCaps w:val="false"/>
          <w:sz w:val="20"/>
        </w:rPr>
        <w:t>of the Disclosure Schedules, there are no outstanding Options issued or granted by, or binding upon, any Acquired Company for any Person to purchase or sell or otherwise acquire or dispose of any equity interest or other security or interest in any such Acquired Company.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set forth in any Tax Equity Agreement, any Financing Document or the Constitutive Documents of any Acquired Company;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as provided pursuant to this Agreement;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as set forth in Part II of </w:t>
      </w:r>
      <w:r>
        <w:rPr>
          <w:rFonts w:ascii="Times New Roman;Times;Serif" w:hAnsi="Times New Roman;Times;Serif"/>
          <w:b w:val="false"/>
          <w:i/>
          <w:caps w:val="false"/>
          <w:smallCaps w:val="false"/>
          <w:sz w:val="20"/>
        </w:rPr>
        <w:t>Schedule 3.01(i)(v)</w:t>
      </w:r>
      <w:r>
        <w:rPr>
          <w:rFonts w:ascii="Times New Roman;Times;Serif" w:hAnsi="Times New Roman;Times;Serif"/>
          <w:b w:val="false"/>
          <w:i w:val="false"/>
          <w:caps w:val="false"/>
          <w:smallCaps w:val="false"/>
          <w:sz w:val="20"/>
        </w:rPr>
        <w:t> of the Disclosure Schedules, none of the Acquired Interests or the membership interests in the Acquired Companies are subject to any voting trust or voting trust agreement, voting agreement, pledge agreement, buy-sell agreement, right of first refusal, preemptive right or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as set forth on </w:t>
      </w:r>
      <w:r>
        <w:rPr>
          <w:rFonts w:ascii="Times New Roman;Times;Serif" w:hAnsi="Times New Roman;Times;Serif"/>
          <w:b w:val="false"/>
          <w:i/>
          <w:caps w:val="false"/>
          <w:smallCaps w:val="false"/>
          <w:sz w:val="20"/>
        </w:rPr>
        <w:t>Schedule 3.01(i)(vi)</w:t>
      </w:r>
      <w:r>
        <w:rPr>
          <w:rFonts w:ascii="Times New Roman;Times;Serif" w:hAnsi="Times New Roman;Times;Serif"/>
          <w:b w:val="false"/>
          <w:i w:val="false"/>
          <w:caps w:val="false"/>
          <w:smallCaps w:val="false"/>
          <w:sz w:val="20"/>
        </w:rPr>
        <w:t> of the Disclosure Schedules, no Acquired Company has any subsidiaries, equity interests, interests in joint ventures or general or limited partnerships or other investment or portfolio assets of a similar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Except as set forth on </w:t>
      </w:r>
      <w:r>
        <w:rPr>
          <w:rFonts w:ascii="Times New Roman;Times;Serif" w:hAnsi="Times New Roman;Times;Serif"/>
          <w:b w:val="false"/>
          <w:i/>
          <w:caps w:val="false"/>
          <w:smallCaps w:val="false"/>
          <w:sz w:val="20"/>
        </w:rPr>
        <w:t>Schedule 3.01(i)(vii)</w:t>
      </w:r>
      <w:r>
        <w:rPr>
          <w:rFonts w:ascii="Times New Roman;Times;Serif" w:hAnsi="Times New Roman;Times;Serif"/>
          <w:b w:val="false"/>
          <w:i w:val="false"/>
          <w:caps w:val="false"/>
          <w:smallCaps w:val="false"/>
          <w:sz w:val="20"/>
        </w:rPr>
        <w:t> of the Disclosure Schedules, no Acquired Company conducts: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business other than the development, ownership, operation and management of one or more Projects;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operations other than those incidental to the ownership, operation, and management of one or more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books and records of each Acquired Company are: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 all material respects, accurate and complete and have been maintained in accordance with good business practices;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state in reasonable detail and accurately and fairly reflect the activities and transactions of such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execution and delivery by Seller of the Assignment of Membership Interests;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No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Acquired Company has any material liability or obligation that would be required to be disclosed on a balance sheet prepared in accordance with GAAP, except for the liabilities and obligations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incurred in the ordinary course of business consistent with past practice;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that constitute amounts payable under the Company Contracts expressly provided for under existing Company Contracts that have not arisen from a breach thereof or thereunder;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under the Financing Documents or Tax Equity Agreements;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Indebtedness of each Acquired Company as of the Execution Date, other than Indebtedness under any Financing Document, is listed on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since the date of formation of each Acquired Company,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federal and all other material Tax Returns required to be filed by or with respect to each such Acquired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any Acquired Company (or income attributable thereto), and Seller, Affiliates of Seller, and the Acquired Companies have paid, or made adequate provisions for the payment of, all Taxes, assessments and other charges due or claimed to be due (regardless of whether shown on any Tax Return) from any such Acquired Company or for which any Acquired Company or Purchaser could be held 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Actions or Proceedings currently pending or threatened in writing against the Acquired Companies or related to their business operations by any Governmental Authority for the assessment or collection of Taxes;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audits or other examinations of any Tax Return of the Acquired Companies (or income attributable thereto) in progress nor has Seller, any Affiliate of Seller or the Acquired Companies been notified in writing of any request for examination with respect to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claims for assessment or collection of Taxes that have been asserted in writing against Seller or any Affiliate of Seller with respect to the Acquired Companies (or the income attributable thereto); or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matters under discussion with any Governmental Authority regarding claims for assessment or collection of Taxes against the Acquired Companies (or income attributable thereto). There are no outstanding agreements, waivers or consents extending the statutory period of limitations applicable to any Tax of the Acquired Companies, and, except as set forth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no Acquired Company has requested any extension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Seller (or, if Seller is a disregarded entity, Seller’s regarded owner for U.S. federal income tax purposes) is not a “foreign person” within the meaning of Code Sections 1445(b)(2) and 1446(f).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Acquired Companies have been properly classified for federal and state income Tax purposes either as disregarded entities or partnerships under Treasury Regulations Section 301.7701-2 and -3 and neither Seller nor any Affiliate of Seller has made or caused to be made any election for any Tax purposes to classify any Acquired Company other than as a disregarded entity or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Acquired Company is a party to any Tax allocation, Tax sharing or other similar agreement, other than customary Tax indemnification or other provisions contained in any credit or other ordinary course commercial agreements the primary purpose of which is not Taxes (including, for the avoidance of doubt, the Company Contracts and the Tax Equity Documents).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Target Company has never entered into or been a party to any “reportable transaction,” as defined in Section 1.6011-4(b)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None of the property owned by any Acquired Company is “tax exempt use property” within the meaning of Section 168(h) of the Code or “tax exempt bond financed property” within the meaning of Code Section 168(g)(5) (for the avoidance of doubt, other than as a result of Purchaser’s treatment as an indirect owner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No Acquired Company has, nor has ever had, any employees or any Liability, actual or contingent, with respect to any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Company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contains, as of the Execution Date, a true, correct and complete list of all Company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has provided, or with respect to Company Contracts entered into following the Execution Date, will promptly provide, Purchaser with, or access to, true, correct and complete copies of all the Company Contracts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required to be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entered into from and after the Execution Date, and the agreements described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and all amendments, modifications and supplements thereto. Each Company Contract constitutes the legal, valid, binding and enforceable obligation of the Acquired Company party thereto and to the Knowledge of Seller, the other parties thereto, except as may be limited 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bankruptcy, insolvency, reorganization, moratorium and other similar laws of general application affecting the rights and remedies of creditors;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general principles of equity (regardless of whether such enforcement is considered in a proceeding in equity or at law). Each Company Contract is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Except as disclosed on </w:t>
      </w:r>
      <w:r>
        <w:rPr>
          <w:rFonts w:ascii="Times New Roman;Times;Serif" w:hAnsi="Times New Roman;Times;Serif"/>
          <w:b w:val="false"/>
          <w:i/>
          <w:caps w:val="false"/>
          <w:smallCaps w:val="false"/>
          <w:sz w:val="20"/>
        </w:rPr>
        <w:t>Schedule 3.01(m)(iii)</w:t>
      </w:r>
      <w:r>
        <w:rPr>
          <w:rFonts w:ascii="Times New Roman;Times;Serif" w:hAnsi="Times New Roman;Times;Serif"/>
          <w:b w:val="false"/>
          <w:i w:val="false"/>
          <w:caps w:val="false"/>
          <w:smallCaps w:val="false"/>
          <w:sz w:val="20"/>
        </w:rPr>
        <w:t> of the Disclosure Schedules, no Acquired Company or, to the Knowledge of Seller, the other parties thereto, is in material violation or material breach of or material default under any Company Contract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None of Seller or any Acquired Company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3.01(n)(i)</w:t>
      </w:r>
      <w:r>
        <w:rPr>
          <w:rFonts w:ascii="Times New Roman;Times;Serif" w:hAnsi="Times New Roman;Times;Serif"/>
          <w:b w:val="false"/>
          <w:i w:val="false"/>
          <w:caps w:val="false"/>
          <w:smallCaps w:val="false"/>
          <w:sz w:val="20"/>
        </w:rPr>
        <w:t> of the Disclosure Schedules lists, as of the Execution Date, all Real Property Rights of the Project Companies, the real property in which the Project Companies have Real Property Rights, and appurtenances thereto (all such Real Property Rights, whether at the Execution Date or the Closing Date, collectively, the “</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Each Project Company has a good and valid fee, leasehold, easement, access, license, or right of way interests, as applicable, in the Land required or associated with the applicable Project, free and clear of all Liens, except: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for Permitted Exceptions;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as disclosed in the applicable Execution Date Proforma Title Policy delivered by Seller to Purchaser on or before the Closing Date;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as disclosed in the applicable Title Policy.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3.01(n)(ii)</w:t>
      </w:r>
      <w:r>
        <w:rPr>
          <w:rFonts w:ascii="Times New Roman;Times;Serif" w:hAnsi="Times New Roman;Times;Serif"/>
          <w:b w:val="false"/>
          <w:i w:val="false"/>
          <w:caps w:val="false"/>
          <w:smallCaps w:val="false"/>
          <w:sz w:val="20"/>
        </w:rPr>
        <w:t> of the Disclosure Schedules, no Acquired Company has entered into any assignment, lease, license, sublease, easement or other agreement granting to any Person any right to the possession, use, occupancy or enjoyment of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Acquired Company has caused or suffered to exist any easement, right-of-way, covenant, condition, restriction, reservation, license, agreement or other similar matter that would materially interfere with the operation of the Projects or the business of the Acquired Companies in respect of the Real Property Rights, except as set forth on Part 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in the applicable Execution Date Proforma Title Policy or in the applicable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Part II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the Real Property Rights are all the real property rights necessary for the Acquired Companies to develop, construct, own and operate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Seller or any Acquired Company has received any written notice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condemnation, eminent domain or similar governmental proceeding materially affecting, individually or in the aggregate, the Projects;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zoning, ordinance, building, fire, health or safety code violations materially affecting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Title Policy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3.01(o)</w:t>
      </w:r>
      <w:r>
        <w:rPr>
          <w:rFonts w:ascii="Times New Roman;Times;Serif" w:hAnsi="Times New Roman;Times;Serif"/>
          <w:b w:val="false"/>
          <w:i w:val="false"/>
          <w:caps w:val="false"/>
          <w:smallCaps w:val="false"/>
          <w:sz w:val="20"/>
        </w:rPr>
        <w:t> of the Disclosure Schedules lists all Real Property Rights insured by the Title Policies (the “</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As of the Execution Date, Seller has provided to Purchaser a true and correct copy of the Execution Date Proforma Title Policies covering the Insured Property Rights. As of the Closing Date, Seller has provided to Purchaser copies of any pro forma Closing Date Endorsements and Title Proformas covering the Insured Property Rights that have been provided to the Tax Equity Investor on or prior to the Closing Date. The Insured Property Rights are subject only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Permitted Exceptions;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matters disclosed in the Title Policies;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matters consented to in writing by Purchaser (which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Environmental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caps w:val="false"/>
          <w:smallCaps w:val="false"/>
          <w:sz w:val="20"/>
        </w:rPr>
        <w:t>Schedule 3.01(p)(i)</w:t>
      </w:r>
      <w:r>
        <w:rPr>
          <w:rFonts w:ascii="Times New Roman;Times;Serif" w:hAnsi="Times New Roman;Times;Serif"/>
          <w:b w:val="false"/>
          <w:i w:val="false"/>
          <w:caps w:val="false"/>
          <w:smallCaps w:val="false"/>
          <w:sz w:val="20"/>
        </w:rPr>
        <w:t> of the Disclosure Schedules, the Acquired Companies are in compliance with all Environmental Laws, except to the extent that any such non-compliance would not reasonably be expected to have a Material Adverse Effect. There is no material violation of any Environmental Law or other material Liability arising under any Environmental Law with respect to the Projects or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Actions or Proceedings pending or, to the Knowledge of Seller, threatened as of the Execution Date against Seller (solely in respect of the Projects or the Acquired Companies), or the Acquired Companies, relating to any material violation of Environmental Law. None of Seller or any Acquired Company has received written notice from any Governmental Authority of any material violation of any Environmental Law in respect of the Projects or the Acquired Companies (other than those violations that have been resolved or remedied).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xml:space="preserve"> of the Disclosure Schedules sets forth, as of the Execution Date, all material Permits required pursuant to any Environmental Law to be acquired or held by or for the benefit of Seller or Acquired Companies for the development, construction, ownership, use or operation of the Land or the business of the Acquired Companies as currently conducted. Except as set forth in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w:t>
      </w:r>
      <w:r>
        <w:rPr>
          <w:rFonts w:ascii="Times New Roman;Times;Serif" w:hAnsi="Times New Roman;Times;Serif"/>
          <w:b w:val="false"/>
          <w:i/>
          <w:caps w:val="false"/>
          <w:smallCaps w:val="false"/>
          <w:sz w:val="20"/>
        </w:rPr>
        <w:t>Schedule 3.01(p)(iv)</w:t>
      </w:r>
      <w:r>
        <w:rPr>
          <w:rFonts w:ascii="Times New Roman;Times;Serif" w:hAnsi="Times New Roman;Times;Serif"/>
          <w:b w:val="false"/>
          <w:i w:val="false"/>
          <w:caps w:val="false"/>
          <w:smallCaps w:val="false"/>
          <w:sz w:val="20"/>
        </w:rPr>
        <w:t> of the Disclosure Schedules, to the Knowledge of Seller, there has been no Release of Hazardous Substances at or from the Projects in violation of Environmental Laws or Permits required by or issued pursuant to any Environmental Law for the development, construction, ownership, use or operation of the Land or the business of the Acquired Companies as currently conducted that would be reasonably expected to trigger any obligation of Seller or the Acquired Companies under Environmental Laws to report, investigate, remove or remediate such Release, or that would be reasonably expected to result in a material liability or interfere materially with the development, construction, ownership or operations of any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Seller has made available to Purchaser all material environmental reports, assessments and documents that are in the possession of Seller or the Acquired Companies and that relate to actual or potential material Liabilities under Environmental Laws with respect to the Projects or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xml:space="preserve"> of the Disclosure Schedules sets forth, as of the Execution Date, all material Permits required pursuant to any Law to be acquired or held by or for the benefit of Seller or the Acquired Companies in connection with the development, construction, ownership, maintenance, or operation of the Projects, except for those required by the Environmental Laws, which are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xml:space="preserve">, or those of a type that are ministerial in nature and routinely granted on application and for which none of Seller or the Acquired Companies has reason to believe will not be obtained in due course. Except as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3.01(q)(ii)</w:t>
      </w:r>
      <w:r>
        <w:rPr>
          <w:rFonts w:ascii="Times New Roman;Times;Serif" w:hAnsi="Times New Roman;Times;Serif"/>
          <w:b w:val="false"/>
          <w:i w:val="false"/>
          <w:caps w:val="false"/>
          <w:smallCaps w:val="false"/>
          <w:sz w:val="20"/>
        </w:rPr>
        <w:t xml:space="preserve"> of the Disclosure Schedules, and except as relates to compliance with Environmental Laws which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Seller and the Acquired Companies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not in full force and effect;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is subject to any Action or Proceeding or unsatisfied condition, in each case of clause (A) and (B) which has not been remedied or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There are no proceedings pending or, to the Knowledge of Seller, threatened which would reasonably be expected to result in the modification, revocation or termination of any material Permit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Affiliate Transactions</w:t>
      </w:r>
      <w:r>
        <w:rPr>
          <w:rFonts w:ascii="Times New Roman;Times;Serif" w:hAnsi="Times New Roman;Times;Serif"/>
          <w:b w:val="false"/>
          <w:i w:val="false"/>
          <w:caps w:val="false"/>
          <w:smallCaps w:val="false"/>
          <w:sz w:val="20"/>
        </w:rPr>
        <w:t>. Except for: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transactions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disclosed on </w:t>
      </w:r>
      <w:r>
        <w:rPr>
          <w:rFonts w:ascii="Times New Roman;Times;Serif" w:hAnsi="Times New Roman;Times;Serif"/>
          <w:b w:val="false"/>
          <w:i/>
          <w:caps w:val="false"/>
          <w:smallCaps w:val="false"/>
          <w:sz w:val="20"/>
        </w:rPr>
        <w:t>Schedule 3.01(r)</w:t>
      </w:r>
      <w:r>
        <w:rPr>
          <w:rFonts w:ascii="Times New Roman;Times;Serif" w:hAnsi="Times New Roman;Times;Serif"/>
          <w:b w:val="false"/>
          <w:i w:val="false"/>
          <w:caps w:val="false"/>
          <w:smallCaps w:val="false"/>
          <w:sz w:val="20"/>
        </w:rPr>
        <w:t> of the Disclosure Schedules;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under the Company Contracts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entered into following the Execution Date in accordance with the terms of this Agreement;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this Agreement, there are no existing or pending transactions, Contracts or Liabilities between or among any Acquired Company on the one hand, and Seller or any of Seller’s Affiliates (other than any other Acquired Company), or any officer or director of Seller or any of Seller’s Affiliates, on the other hand.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the Knowledge of Seller, except as set forth in </w:t>
      </w:r>
      <w:r>
        <w:rPr>
          <w:rFonts w:ascii="Times New Roman;Times;Serif" w:hAnsi="Times New Roman;Times;Serif"/>
          <w:b w:val="false"/>
          <w:i/>
          <w:caps w:val="false"/>
          <w:smallCaps w:val="false"/>
          <w:sz w:val="20"/>
        </w:rPr>
        <w:t>Schedule 3.01(s)(i) </w:t>
      </w:r>
      <w:r>
        <w:rPr>
          <w:rFonts w:ascii="Times New Roman;Times;Serif" w:hAnsi="Times New Roman;Times;Serif"/>
          <w:b w:val="false"/>
          <w:i w:val="false"/>
          <w:caps w:val="false"/>
          <w:smallCaps w:val="false"/>
          <w:sz w:val="20"/>
        </w:rPr>
        <w:t>of the Disclosure Schedules, there is not now and has not been during the past three (3) years any infringement or misappropriation by Seller of any valid patent, trademark, trade name, service mark, copyright, trade secret or similar intellectual property which relates to the Acquired Interests or the assets of the Acquired Companies and which is owned by any third party, and there is not now any existing or, to the Knowledge of Seller, threatened claim against Seller of infringement or misappropriation of any patent, trademark, trade name, service mark, copyright trade secret or similar intellectual property which directly relates to the Acquired Interests or the assets of the Acquired Companies and which is owned by any third party and which, in each case,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Acquired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is no pending or, to the Knowledge of Seller, threatened claim by Seller against others for infringement or misappropriation of any trademark, trade name, service mark, copyright, trade secret or similar intellectual property owned by Seller and which is utilized in the conduct of the business of the Acquired Companies that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contains a true, correct and complete list of all insurance policies as of the Execution Date that insure the assets and properties and business of the Acquired Companies or affect or relate to the ownership of any of the assets and properties the Acquired Companies. Seller has delivered to Purchaser detailed summaries of all the insurance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all of which are in full force and effect. None of Seller or any Acquired Company has received any notice with respect to the assets and properties and business of the Acquired Companies from any insurer under any insurance policy applicable to the assets and properties and business of the Acquired Companies disclaiming coverage, reserving rights with respect to a particular claim or such policy in general or canceling any such policy. All premiums due and payable under all such policies have been paid and the terms of such policies have been complied with by Seller and the Acquired Companies, as applicable, in all material respects. The insurance maintained by or on behalf of the Acquired Companies is adequate to comply with all Laws and Company Contracts. Except as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there are no pending insurance claims. Seller expects insurance coverage for property damage and business interruption for the Projects as described in the property and casualty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Balance Sheets</w:t>
      </w:r>
      <w:r>
        <w:rPr>
          <w:rFonts w:ascii="Times New Roman;Times;Serif" w:hAnsi="Times New Roman;Times;Serif"/>
          <w:b w:val="false"/>
          <w:i w:val="false"/>
          <w:caps w:val="false"/>
          <w:smallCaps w:val="false"/>
          <w:sz w:val="20"/>
        </w:rPr>
        <w:t>. Seller has previously delivered to Purchaser true, correct and complete copies of the unaudited balance sheets (the “</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of the Acquired Companies, on a stand-alone basis, for the quarter ended August 31, 2026 (the “</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The Balance Sheets: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fairly present, in all material respects, the consolidated or stand-alone financial position, as applicable, of the Acquired Companies covered thereby, as of the Balance Sheets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have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have been prepared from the books and records of the Acquired Companies covered thereby.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Absence of Changes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3.01(v)</w:t>
      </w:r>
      <w:r>
        <w:rPr>
          <w:rFonts w:ascii="Times New Roman;Times;Serif" w:hAnsi="Times New Roman;Times;Serif"/>
          <w:b w:val="false"/>
          <w:i w:val="false"/>
          <w:caps w:val="false"/>
          <w:smallCaps w:val="false"/>
          <w:sz w:val="20"/>
        </w:rPr>
        <w:t> of the Disclosure Schedules, between the Balance Sheets Date (except as otherwise indicated in subparagraph (vii) below) and the Execution Date, there has not been: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repurchase, redemption or other acquisition of any equity interests of any Acquired Company or any interests convertible into equity interests of any Acquired Company or any other change in the capitalization or ownership of any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merger of any Acquired Company into or with any other Person, consolidation of any Acquired Company with any other Person or acquisition by any Acquired Company of all or substantially all of the business or assets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action by any Acquired Company or any commitment entered into by any member of any Acquired Company with respect to or in contemplation of any liquidation, dissolution, recapitalization, reorganization or other winding up of its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material change in accounting policies or practices (including any change in depreciation or amortization policies) of any Acquired Company, except as required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sale, lease (as lessor), transfer or other disposal of (including any transfers to any of its Affiliates), or mortgage or pledge, or imposition of any Lien on, any of assets or properties of any Acquired Company, or interests therein, other than: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inventory and personal property sold or otherwise disposed of in the ordinary course of business;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creation, incurrence, assumption or guarantee, or agreement to create, incur, assume or guarantee any Indebtedness for borrowed money or entry into any “keep well” or other agreement to maintain the financial condition of another Person, or any arrangement having the economic effect of any of the foregoing (including entering into, as lessee, any capitalized lease obligations as defined in Statement of Financial Accounting Standards No. 13), in each case, by any Acquired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event, circumstance, condition or change relating or with respect to any Acquired Company that would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Bank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3.01(w)</w:t>
      </w:r>
      <w:r>
        <w:rPr>
          <w:rFonts w:ascii="Times New Roman;Times;Serif" w:hAnsi="Times New Roman;Times;Serif"/>
          <w:b w:val="false"/>
          <w:i w:val="false"/>
          <w:caps w:val="false"/>
          <w:smallCaps w:val="false"/>
          <w:sz w:val="20"/>
        </w:rPr>
        <w:t> of the Disclosure Schedules sets forth the names and locations of banks, trust companies and other financial institutions at which any Acquired Company maintains bank accounts or safe deposit boxes, in each case listing the type of account, the account number, and the names of all Persons authorized to draw thereupon or who have access thereto.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Regulatory Status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of the date each Project Company first delivers test energy, such Project Company shall be an “Exempt Wholesale Generator.” As an Exempt Wholesale Generator, each Project Company shall be exempt from PUHCA to the extent provided for in 18 C.F.R. § 366.7(e), except as otherwise may be applicable under Section 1265 of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of the date an Acquired Company acquires a direct or indirect equity interest in each Project Company, each such Acquired Company will become a “holding company,” as defined in PUHCA, with respect to its direct or indirect, as applicable, ownership of the Project Company(ies) and, therefore, each such Acquired Company is entitled to the exemptions and waivers set forth in 18 C.F.R. § 366.3(a). As of the earlier of the date a Project Company first delivers test energy or owns energized interconnection facilities, each Acquired Company that directly or indirectly owns any equity interests in such Project Company will become a “holding company,” as defined in PUHCA, solely with respect to its direct or indirect, as applicable, ownership of such Project Company(ies) and, therefore, each such Acquired Company is entitled to the exemptions and waivers set forth in 18 C.F.R. § 366.3(a). No Project Company is a “holding company” as defined under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of the Closing Date, Purchaser, solely by virtue of its indirect ownership of each Project Company, will not be subject to, or will not lose the exemption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regulation under PUHCA as an “electric utility company,” a “public utility company,” or a “holding company,” or an “affiliate” or “subsidiary company” of any of the foregoing, in each case as defined under PUHCA, except to the extent such regulation under PUHCA applies to a “holding company” solely with respect to one or more Exempt Wholesale Generators;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regulation as a “public utility” under the FPA;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regulation by the UPSC as a “public utility” or an “electrical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of the date that a Project Company first delivers test energy, such Project Company shall be a “public utility” as that term is defined under FPA Section 201(e) and shall have received MBR Authorization. No Acquired Company is subject to regulation by the UPSC as a “public utility” or, other than such Project Company, an “electrical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Support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be required to use commercially reasonable efforts to replace and/or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Part II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not be required to replace 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Reports</w:t>
      </w:r>
      <w:r>
        <w:rPr>
          <w:rFonts w:ascii="Times New Roman;Times;Serif" w:hAnsi="Times New Roman;Times;Serif"/>
          <w:b w:val="false"/>
          <w:i w:val="false"/>
          <w:caps w:val="false"/>
          <w:smallCaps w:val="false"/>
          <w:sz w:val="20"/>
        </w:rPr>
        <w:t>. Seller has made available to Purchaser true, complete and correct copies of all Reports delivered pursuant to the Tax Equity ECCA as of the Execution Date. As of the Closing Date, Seller has made available to Purchaser true, correct and complete copies of all Reports that were not made available to Purchaser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Projections</w:t>
      </w:r>
      <w:r>
        <w:rPr>
          <w:rFonts w:ascii="Times New Roman;Times;Serif" w:hAnsi="Times New Roman;Times;Serif"/>
          <w:b w:val="false"/>
          <w:i w:val="false"/>
          <w:caps w:val="false"/>
          <w:smallCaps w:val="false"/>
          <w:sz w:val="20"/>
        </w:rPr>
        <w:t>. Seller has prepared the financial projections for the Acquired Companies, which are reflected in the Base Case Model (the “</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in good faith. To the Knowledge of Seller, the Projections: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are based on reasonable assumptions;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reflect all material payments to be made by the Acquired Companies to Seller or its Affiliates;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as to operation and maintenance expenses, are consistent in all material respects with Prudent Industry Practices.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There are no bankruptcy, reorganization or receivership proceedings pending against, being contemplated by or, to the Knowledge of Seller, threatened in writing against, Seller or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No Other Warranties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 xml:space="preserve">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Projects,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or the assets of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including implied warranties of merchantability and fitness for a particular purpose, and warranties arising from course of dealing or usage of trade, all of which are expressly disclaimed. Except as expressly set forth in </w:t>
      </w:r>
      <w:r>
        <w:rPr>
          <w:rFonts w:ascii="Times New Roman;Times;Serif" w:hAnsi="Times New Roman;Times;Serif"/>
          <w:b w:val="false"/>
          <w:i/>
          <w:caps/>
          <w:sz w:val="20"/>
        </w:rPr>
        <w:t>Section 3.01</w:t>
      </w:r>
      <w:r>
        <w:rPr>
          <w:rFonts w:ascii="Times New Roman;Times;Serif" w:hAnsi="Times New Roman;Times;Serif"/>
          <w:b w:val="false"/>
          <w:i w:val="false"/>
          <w:caps/>
          <w:sz w:val="20"/>
        </w:rPr>
        <w:t xml:space="preserve">, Seller makes no representation or warranty to Purchaser with respect to any financial projections, forecasts or forward looking statements of any kind or nature whatsoever relating to the Projects,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the assets of the </w:t>
      </w:r>
      <w:r>
        <w:rPr>
          <w:rFonts w:ascii="Times New Roman;Times;Serif" w:hAnsi="Times New Roman;Times;Serif"/>
          <w:b w:val="false"/>
          <w:i w:val="false"/>
          <w:caps w:val="false"/>
          <w:smallCaps w:val="false"/>
          <w:sz w:val="20"/>
        </w:rPr>
        <w:t xml:space="preserve">ACQUIRED COMPANIES </w:t>
      </w:r>
      <w:r>
        <w:rPr>
          <w:rFonts w:ascii="Times New Roman;Times;Serif" w:hAnsi="Times New Roman;Times;Serif"/>
          <w:b w:val="false"/>
          <w:i w:val="false"/>
          <w:caps/>
          <w:sz w:val="20"/>
        </w:rPr>
        <w:t>or the Acquired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        </w:t>
      </w:r>
      <w:r>
        <w:rPr>
          <w:rFonts w:ascii="Times New Roman;Times;Serif" w:hAnsi="Times New Roman;Times;Serif"/>
          <w:b/>
          <w:i/>
          <w:caps w:val="false"/>
          <w:smallCaps w:val="false"/>
          <w:sz w:val="20"/>
        </w:rPr>
        <w:t>Representations and Warranties with Respect to Purchaser</w:t>
      </w:r>
      <w:r>
        <w:rPr>
          <w:rFonts w:ascii="Times New Roman;Times;Serif" w:hAnsi="Times New Roman;Times;Serif"/>
          <w:b w:val="false"/>
          <w:i w:val="false"/>
          <w:caps w:val="false"/>
          <w:smallCaps w:val="false"/>
          <w:sz w:val="20"/>
        </w:rPr>
        <w:t>. Purchaser hereby represents and warrants to Seller, as of the Execution Date and the Closing Date, as follows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representation and warranty set forth in this </w:t>
      </w:r>
      <w:r>
        <w:rPr>
          <w:rFonts w:ascii="Times New Roman;Times;Serif" w:hAnsi="Times New Roman;Times;Serif"/>
          <w:b w:val="false"/>
          <w:i/>
          <w:caps w:val="false"/>
          <w:smallCaps w:val="false"/>
          <w:sz w:val="20"/>
        </w:rPr>
        <w:t>Section 3.02</w:t>
      </w:r>
      <w:r>
        <w:rPr>
          <w:rFonts w:ascii="Times New Roman;Times;Serif" w:hAnsi="Times New Roman;Times;Serif"/>
          <w:b w:val="false"/>
          <w:i w:val="false"/>
          <w:caps w:val="false"/>
          <w:smallCaps w:val="false"/>
          <w:sz w:val="20"/>
        </w:rPr>
        <w:t xml:space="preserve"> and expressly stated to be made only as of a specified date shall be made solely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the legal, valid and binding obligations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Except as disclosed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of the Disclosure Schedules, and except as would not, individually or 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execution, delivery and performance of this Agreement by Purchaser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Purchaser’s Constitutive Documents, or any material Contract to which Purchaser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assets or properties of Purchaser;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Permits and Filings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3.02(e)</w:t>
      </w:r>
      <w:r>
        <w:rPr>
          <w:rFonts w:ascii="Times New Roman;Times;Serif" w:hAnsi="Times New Roman;Times;Serif"/>
          <w:b w:val="false"/>
          <w:i w:val="false"/>
          <w:caps w:val="false"/>
          <w:smallCaps w:val="false"/>
          <w:sz w:val="20"/>
        </w:rPr>
        <w:t> of the Disclosure Schedules, no Permit is required on the part 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There are no Actions or Proceedings pending or, to the Knowledge of Purchaser, threatened as of the Execution Date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Purchase for Investment</w:t>
      </w:r>
      <w:r>
        <w:rPr>
          <w:rFonts w:ascii="Times New Roman;Times;Serif" w:hAnsi="Times New Roman;Times;Serif"/>
          <w:b w:val="false"/>
          <w:i w:val="false"/>
          <w:caps w:val="false"/>
          <w:smallCaps w:val="false"/>
          <w:sz w:val="20"/>
        </w:rPr>
        <w:t>. Purchaser: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is acquiring the Acquired Interests for its own account and not with a view to distribution;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is an “accredited investor” as such term is defined in Rule 501(a) under the Securities Act of 1933;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has sufficient knowledge and experience in financial and business matters so as to be able to evaluate the merits and risk of an investment in the Acquired Interests and is able financially to bear the risks thereof;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3.02(h)</w:t>
      </w:r>
      <w:r>
        <w:rPr>
          <w:rFonts w:ascii="Times New Roman;Times;Serif" w:hAnsi="Times New Roman;Times;Serif"/>
          <w:b w:val="false"/>
          <w:i w:val="false"/>
          <w:caps w:val="false"/>
          <w:smallCaps w:val="false"/>
          <w:sz w:val="20"/>
        </w:rPr>
        <w:t> of the Disclosure Schedules, no Person has any claim against Purchaser for a finder’s fee, brokerage commission or similar payment directly or indirectly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Governmental Approvals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or which have already been obtained, no Governmental Approval is required on the part of Purchaser in connection with the execution, delivery and performance of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Purchaser is not in material violation of any Law except where any such material violation would not in the aggregate reasonably be expected to have a material adverse effect on Purchaser’s ability to satisfy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Purchaser, or its Representatives, have had the opportunity to conduct all such due diligence investigations of the Acquired Interests, the Acquired Companies and the Projects as they deemed necessary or advisable in connection with entering into this Agreement and the related documents and the transactions contemplated hereby and thereby. </w:t>
      </w:r>
      <w:r>
        <w:rPr>
          <w:rFonts w:ascii="Times New Roman;Times;Serif" w:hAnsi="Times New Roman;Times;Serif"/>
          <w:b w:val="false"/>
          <w:i w:val="false"/>
          <w:caps/>
          <w:sz w:val="20"/>
        </w:rPr>
        <w:t xml:space="preserve">Purchaser has relied solely on its independent investigation and the representations and warranties made by Seller in </w:t>
      </w:r>
      <w:r>
        <w:rPr>
          <w:rFonts w:ascii="Times New Roman;Times;Serif" w:hAnsi="Times New Roman;Times;Serif"/>
          <w:b w:val="false"/>
          <w:i/>
          <w:caps/>
          <w:sz w:val="20"/>
        </w:rPr>
        <w:t>Section 3.01</w:t>
      </w:r>
      <w:r>
        <w:rPr>
          <w:rFonts w:ascii="Times New Roman;Times;Serif" w:hAnsi="Times New Roman;Times;Serif"/>
          <w:b w:val="false"/>
          <w:i w:val="false"/>
          <w:caps/>
          <w:sz w:val="20"/>
        </w:rPr>
        <w:t xml:space="preserve"> in making its decision to acquire the Acquired Interests and has not relied on any other statements or advice from Seller or its Representatives.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      </w:t>
      </w:r>
      <w:r>
        <w:rPr>
          <w:rFonts w:ascii="Times New Roman;Times;Serif" w:hAnsi="Times New Roman;Times;Serif"/>
          <w:b/>
          <w:i/>
          <w:caps w:val="false"/>
          <w:smallCaps w:val="false"/>
          <w:sz w:val="20"/>
        </w:rPr>
        <w:t>Closing Date Conditions Precedent of the Parties</w:t>
      </w:r>
      <w:r>
        <w:rPr>
          <w:rFonts w:ascii="Times New Roman;Times;Serif" w:hAnsi="Times New Roman;Times;Serif"/>
          <w:b w:val="false"/>
          <w:i w:val="false"/>
          <w:caps w:val="false"/>
          <w:smallCaps w:val="false"/>
          <w:sz w:val="20"/>
        </w:rPr>
        <w:t>. The obligations of each Party to consummate the Closing are subject to the fulfillment (or waiver by the applicable Party),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First Phase MC Funding</w:t>
      </w:r>
      <w:r>
        <w:rPr>
          <w:rFonts w:ascii="Times New Roman;Times;Serif" w:hAnsi="Times New Roman;Times;Serif"/>
          <w:b w:val="false"/>
          <w:i w:val="false"/>
          <w:caps w:val="false"/>
          <w:smallCaps w:val="false"/>
          <w:sz w:val="20"/>
        </w:rPr>
        <w:t>. The First Phase MC Funding under the Tax Equity ECCA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Approvals/Consents</w:t>
      </w:r>
      <w:r>
        <w:rPr>
          <w:rFonts w:ascii="Times New Roman;Times;Serif" w:hAnsi="Times New Roman;Times;Serif"/>
          <w:b w:val="false"/>
          <w:i w:val="false"/>
          <w:caps w:val="false"/>
          <w:smallCaps w:val="false"/>
          <w:sz w:val="20"/>
        </w:rPr>
        <w:t xml:space="preserve">. All consents of Purchaser specified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xml:space="preserve"> of the Disclosure Schedules and all approvals of Purchaser specified in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shall have been obtained by Purchaser; and all Seller Approvals and Seller Consents shall have been obtained by Seller and shall in each case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There will not exist on the Closing Date any condition or fact that, individually or in the aggregate, has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Seller Distribution</w:t>
      </w:r>
      <w:r>
        <w:rPr>
          <w:rFonts w:ascii="Times New Roman;Times;Serif" w:hAnsi="Times New Roman;Times;Serif"/>
          <w:b w:val="false"/>
          <w:i w:val="false"/>
          <w:caps w:val="false"/>
          <w:smallCaps w:val="false"/>
          <w:sz w:val="20"/>
        </w:rPr>
        <w:t>. Simultaneously with the occurrence of the Closing, the Seller Distribution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TE HoldCo MIPA</w:t>
      </w:r>
      <w:r>
        <w:rPr>
          <w:rFonts w:ascii="Times New Roman;Times;Serif" w:hAnsi="Times New Roman;Times;Serif"/>
          <w:b w:val="false"/>
          <w:i w:val="false"/>
          <w:caps w:val="false"/>
          <w:smallCaps w:val="false"/>
          <w:sz w:val="20"/>
        </w:rPr>
        <w:t>. The “Closing” (or other equivalent term) (to be defined in the TE HoldCo MIPA) under the TE HoldCo MIPA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4.02.      </w:t>
      </w:r>
      <w:r>
        <w:rPr>
          <w:rFonts w:ascii="Times New Roman;Times;Serif" w:hAnsi="Times New Roman;Times;Serif"/>
          <w:b/>
          <w:i/>
          <w:caps w:val="false"/>
          <w:smallCaps w:val="false"/>
          <w:sz w:val="20"/>
        </w:rPr>
        <w:t>Closing Date Conditions Precedent of the Purchaser</w:t>
      </w:r>
      <w:r>
        <w:rPr>
          <w:rFonts w:ascii="Times New Roman;Times;Serif" w:hAnsi="Times New Roman;Times;Serif"/>
          <w:b w:val="false"/>
          <w:i w:val="false"/>
          <w:caps w:val="false"/>
          <w:smallCaps w:val="false"/>
          <w:sz w:val="20"/>
        </w:rPr>
        <w:t>. The obligations of the Purchaser to consummate the Closing are subject to the fulfillment (or waiver by the Purchaser ),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Seller Representations and Warranties</w:t>
      </w:r>
      <w:r>
        <w:rPr>
          <w:rFonts w:ascii="Times New Roman;Times;Serif" w:hAnsi="Times New Roman;Times;Serif"/>
          <w:b w:val="false"/>
          <w:i w:val="false"/>
          <w:caps w:val="false"/>
          <w:smallCaps w:val="false"/>
          <w:sz w:val="20"/>
        </w:rPr>
        <w:t>. The representations and warranties made by Seller in this Agreement shall be true and correct in all material respects (except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each Fundamental Representation made by Seller shall be true and correct in all respects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Seller Covenants</w:t>
      </w:r>
      <w:r>
        <w:rPr>
          <w:rFonts w:ascii="Times New Roman;Times;Serif" w:hAnsi="Times New Roman;Times;Serif"/>
          <w:b w:val="false"/>
          <w:i w:val="false"/>
          <w:caps w:val="false"/>
          <w:smallCaps w:val="false"/>
          <w:sz w:val="20"/>
        </w:rPr>
        <w:t>. The covenants and obligations required by this Agreement to be performed or complied with by Seller at or before the Closing Date have been duly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Withholding Certificate</w:t>
      </w:r>
      <w:r>
        <w:rPr>
          <w:rFonts w:ascii="Times New Roman;Times;Serif" w:hAnsi="Times New Roman;Times;Serif"/>
          <w:b w:val="false"/>
          <w:i w:val="false"/>
          <w:caps w:val="false"/>
          <w:smallCaps w:val="false"/>
          <w:sz w:val="20"/>
        </w:rPr>
        <w:t xml:space="preserve">. Seller shall have delivered to Purchaser a valid, properly executed IRS Form W-9 (or, if Seller is an entity treated as disregarded as separate from its owner for federal income tax purposes, Seller’s regarded owner for federal income tax purposes);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Purchaser’s (and the Target Company’s) sole right if Seller fails to provide such IRS Form W-9 shall be to make appropriate withholdings under Sections 1445 and 1446 of the Code.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Seller shall have delivered to Purchaser: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 certificate, dated as of the Closing Date and executed by an authorized officer of Seller substantially in the form and to the effect of </w:t>
      </w:r>
      <w:r>
        <w:rPr>
          <w:rFonts w:ascii="Times New Roman;Times;Serif" w:hAnsi="Times New Roman;Times;Serif"/>
          <w:b w:val="false"/>
          <w:i/>
          <w:caps w:val="false"/>
          <w:smallCaps w:val="false"/>
          <w:sz w:val="20"/>
        </w:rPr>
        <w:t>Exhibit D</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certificate, dated as of the Closing Date and executed by the Secretary of Seller substantially in the form and to the effect of </w:t>
      </w:r>
      <w:r>
        <w:rPr>
          <w:rFonts w:ascii="Times New Roman;Times;Serif" w:hAnsi="Times New Roman;Times;Serif"/>
          <w:b w:val="false"/>
          <w:i/>
          <w:caps w:val="false"/>
          <w:smallCaps w:val="false"/>
          <w:sz w:val="20"/>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Simultaneously with or prior to the Closing, Seller Parent shall have executed and delivered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Seller Guaranties</w:t>
      </w:r>
      <w:r>
        <w:rPr>
          <w:rFonts w:ascii="Times New Roman;Times;Serif" w:hAnsi="Times New Roman;Times;Serif"/>
          <w:b w:val="false"/>
          <w:i w:val="false"/>
          <w:caps w:val="false"/>
          <w:smallCaps w:val="false"/>
          <w:sz w:val="20"/>
        </w:rPr>
        <w:t xml:space="preserve">. Simultaneously with or prior to the Closing, Seller Parent shall have executed, and delivered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Investor, the Seller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Administrative Agent, the Seller Cash Diversion Guaranty;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Tax Credit Purchaser, the Seller Tax Credit Transfer Guaranty,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4.03.      </w:t>
      </w:r>
      <w:r>
        <w:rPr>
          <w:rFonts w:ascii="Times New Roman;Times;Serif" w:hAnsi="Times New Roman;Times;Serif"/>
          <w:b/>
          <w:i/>
          <w:caps w:val="false"/>
          <w:smallCaps w:val="false"/>
          <w:sz w:val="20"/>
        </w:rPr>
        <w:t>Closing Date Conditions Precedent of the Seller</w:t>
      </w:r>
      <w:r>
        <w:rPr>
          <w:rFonts w:ascii="Times New Roman;Times;Serif" w:hAnsi="Times New Roman;Times;Serif"/>
          <w:b w:val="false"/>
          <w:i w:val="false"/>
          <w:caps w:val="false"/>
          <w:smallCaps w:val="false"/>
          <w:sz w:val="20"/>
        </w:rPr>
        <w:t>. The obligations of the Seller to consummate the Closing are subject to the fulfillment (or waiver by the Seller),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Purchaser Representations and Warranties</w:t>
      </w:r>
      <w:r>
        <w:rPr>
          <w:rFonts w:ascii="Times New Roman;Times;Serif" w:hAnsi="Times New Roman;Times;Serif"/>
          <w:b w:val="false"/>
          <w:i w:val="false"/>
          <w:caps w:val="false"/>
          <w:smallCaps w:val="false"/>
          <w:sz w:val="20"/>
        </w:rPr>
        <w:t>. The representations and warranties made by Purchaser in this Agreement shall be true and correct in all material respects (except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each Fundamental Representation made by Purchaser shall be true and correct in all respects;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Purchaser Covenants</w:t>
      </w:r>
      <w:r>
        <w:rPr>
          <w:rFonts w:ascii="Times New Roman;Times;Serif" w:hAnsi="Times New Roman;Times;Serif"/>
          <w:b w:val="false"/>
          <w:i w:val="false"/>
          <w:caps w:val="false"/>
          <w:smallCaps w:val="false"/>
          <w:sz w:val="20"/>
        </w:rPr>
        <w:t>. The covenants and obligations required by this Agreement to be performed or complied with by Purchaser at or before the Closing Date have been duly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Purchaser shall have delivered to Seller: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 certificate, dated as of the Closing Date and executed by an authorized officer of Purchaser substantially in the form and to the effect of </w:t>
      </w:r>
      <w:r>
        <w:rPr>
          <w:rFonts w:ascii="Times New Roman;Times;Serif" w:hAnsi="Times New Roman;Times;Serif"/>
          <w:b w:val="false"/>
          <w:i/>
          <w:caps w:val="false"/>
          <w:smallCaps w:val="false"/>
          <w:sz w:val="20"/>
        </w:rPr>
        <w:t>Exhibit F</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certificate, dated as of the Closing Date and executed by the Secretary of Purchaser substantially in the form and to the effect of </w:t>
      </w:r>
      <w:r>
        <w:rPr>
          <w:rFonts w:ascii="Times New Roman;Times;Serif" w:hAnsi="Times New Roman;Times;Serif"/>
          <w:b w:val="false"/>
          <w:i/>
          <w:caps w:val="false"/>
          <w:smallCaps w:val="false"/>
          <w:sz w:val="20"/>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Simultaneously with or prior to the Closing, Purchaser shall have executed and delivered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Purchaser Guaranties</w:t>
      </w:r>
      <w:r>
        <w:rPr>
          <w:rFonts w:ascii="Times New Roman;Times;Serif" w:hAnsi="Times New Roman;Times;Serif"/>
          <w:b w:val="false"/>
          <w:i w:val="false"/>
          <w:caps w:val="false"/>
          <w:smallCaps w:val="false"/>
          <w:sz w:val="20"/>
        </w:rPr>
        <w:t xml:space="preserve">. Simultaneously with or prior to the Closing, Purchaser Parent shall have executed, and delivered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Investor, the Purchaser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[reserved];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Tax Credit Purchaser, the Purchaser Tax Credit Transfer Guaranty, if applicable.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      </w:t>
      </w:r>
      <w:r>
        <w:rPr>
          <w:rFonts w:ascii="Times New Roman;Times;Serif" w:hAnsi="Times New Roman;Times;Serif"/>
          <w:b/>
          <w:i/>
          <w:caps w:val="false"/>
          <w:smallCaps w:val="false"/>
          <w:sz w:val="20"/>
        </w:rPr>
        <w:t>Regulatory and Other Permits</w:t>
      </w:r>
      <w:r>
        <w:rPr>
          <w:rFonts w:ascii="Times New Roman;Times;Serif" w:hAnsi="Times New Roman;Times;Serif"/>
          <w:b w:val="false"/>
          <w:i w:val="false"/>
          <w:caps w:val="false"/>
          <w:smallCaps w:val="false"/>
          <w:sz w:val="20"/>
        </w:rPr>
        <w:t xml:space="preserve">. Following the Execution Date, Seller shall, or shall cause the Acquired Companies to, as promptly as 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a Project, such Project Company shall have obtained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for any Project. Seller shall provide a status report to Purchaser upon the reasonable request of Purchaser. Seller shall use commercially reasonable efforts not to cause its Representatives, or the Acquired Companies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Times;Serif" w:hAnsi="Times New Roman;Times;Serif"/>
          <w:b w:val="false"/>
          <w:i/>
          <w:caps w:val="false"/>
          <w:smallCaps w:val="false"/>
          <w:sz w:val="20"/>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       </w:t>
      </w:r>
      <w:r>
        <w:rPr>
          <w:rFonts w:ascii="Times New Roman;Times;Serif" w:hAnsi="Times New Roman;Times;Serif"/>
          <w:b/>
          <w:i/>
          <w:caps w:val="false"/>
          <w:smallCaps w:val="false"/>
          <w:sz w:val="20"/>
        </w:rPr>
        <w:t>Access to Information</w:t>
      </w:r>
      <w:r>
        <w:rPr>
          <w:rFonts w:ascii="Times New Roman;Times;Serif" w:hAnsi="Times New Roman;Times;Serif"/>
          <w:b w:val="false"/>
          <w:i w:val="false"/>
          <w:caps w:val="false"/>
          <w:smallCaps w:val="false"/>
          <w:sz w:val="20"/>
        </w:rPr>
        <w:t>. From the Execution Date and continuing until the earlier of the termination of this Agreement or the Closing Date (the “</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Seller shall at all reasonable times and upon reasonable prior notice during regular business hours make the properties, assets, books and records pertaining to the Acquired Companies, the Acquired Interests or the Projects reasonably available for examination, inspection and review by Purchaser and its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Purchaser and its Representatives shall be subject to customary confidentiality undertakings with respect to any such information or access made available;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for any site visit or access, Purchaser and its Representatives will agree to comply with all safety and other policies and procedures disclosed to it while conducting such visit or access;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Purchaser’s and its Representatives’ inspections and examinations shall not unreasonably disrupt the normal operations of Seller, the Acquired Companies or the Projects and shall be at Purchaser’s sole cost and expense;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neither Purchaser, nor any of its Affiliates or Representatives, shall conduct any intrusive environmental site assessment or activities with respect to the Acquired Companies or their properties without the prior written consent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       </w:t>
      </w:r>
      <w:r>
        <w:rPr>
          <w:rFonts w:ascii="Times New Roman;Times;Serif" w:hAnsi="Times New Roman;Times;Serif"/>
          <w:b/>
          <w:i/>
          <w:caps w:val="false"/>
          <w:smallCaps w:val="false"/>
          <w:sz w:val="20"/>
        </w:rPr>
        <w:t>Notification of Certain Matters</w:t>
      </w:r>
      <w:r>
        <w:rPr>
          <w:rFonts w:ascii="Times New Roman;Times;Serif" w:hAnsi="Times New Roman;Times;Serif"/>
          <w:b w:val="false"/>
          <w:i w:val="false"/>
          <w:caps w:val="false"/>
          <w:smallCaps w:val="false"/>
          <w:sz w:val="20"/>
        </w:rPr>
        <w:t>. Seller shall have the right to deliver to Purchaser, not later than ten (10) Business Days prior to the Closing Date, a supplement to the Disclosure Schedules (the “</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but shall not be deemed to have irrevocably waived its right to indemnification under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with respect to such item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updates shall not give rise to any right of indemnification to the extent such updates are solely to reflect the execution of any Tax Equity Document pursuant to and in accordance with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5.04.      </w:t>
      </w:r>
      <w:r>
        <w:rPr>
          <w:rFonts w:ascii="Times New Roman;Times;Serif" w:hAnsi="Times New Roman;Times;Serif"/>
          <w:b/>
          <w:i/>
          <w:caps w:val="false"/>
          <w:smallCaps w:val="false"/>
          <w:sz w:val="20"/>
        </w:rPr>
        <w:t>Conduct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Interim Period,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xml:space="preserve">, Seller shall cause each Acquired Company to operate and carry on its business in the ordinary course and substantially as operated prior to the Execution Date. Without limiting the foregoing,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Seller shall cause each Acquired Company to perform in all material respects the Company Contracts to which such Acquired Companies is a party and use commercially reasonable efforts consistent with good business practice to preserve the goodwill of the suppliers, contractors, lenders, Governmental Authorities, licensors, customers, distributors and others having business relations with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caps w:val="false"/>
          <w:smallCaps w:val="false"/>
          <w:sz w:val="20"/>
        </w:rPr>
        <w:t>Section 5.04(a)</w:t>
      </w:r>
      <w:r>
        <w:rPr>
          <w:rFonts w:ascii="Times New Roman;Times;Serif" w:hAnsi="Times New Roman;Times;Serif"/>
          <w:b w:val="false"/>
          <w:i w:val="false"/>
          <w:caps w:val="false"/>
          <w:smallCaps w:val="false"/>
          <w:sz w:val="20"/>
        </w:rPr>
        <w:t>,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as set forth on </w:t>
      </w:r>
      <w:r>
        <w:rPr>
          <w:rFonts w:ascii="Times New Roman;Times;Serif" w:hAnsi="Times New Roman;Times;Serif"/>
          <w:b w:val="false"/>
          <w:i/>
          <w:caps w:val="false"/>
          <w:smallCaps w:val="false"/>
          <w:sz w:val="20"/>
        </w:rPr>
        <w:t>Schedule 5.04(b)</w:t>
      </w:r>
      <w:r>
        <w:rPr>
          <w:rFonts w:ascii="Times New Roman;Times;Serif" w:hAnsi="Times New Roman;Times;Serif"/>
          <w:b w:val="false"/>
          <w:i w:val="false"/>
          <w:caps w:val="false"/>
          <w:smallCaps w:val="false"/>
          <w:sz w:val="20"/>
        </w:rPr>
        <w:t> of the Disclosure Schedules;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as would not be reasonably likely to cause a Major Project Change (with respect to clauses (F), (G), (I), and (N) of this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only);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with the express written approval of Purchaser, such approval not to be unreasonably withheld or delayed, during the Interim Period, Seller shall cause each Acquired Company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any of the Acquired Interests to any Person or create or suffer to exist any Lien upon the Acquired Interests other than the Permitted Equity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issue, grant, deliver or sell or authorize or propose to issue, grant, deliver or sell, or purchase or propose to purchase, any of its equity securities (other than the sale and delivery of the Acquired Interests pursuant to this Agreement, the issuance of membership interests in TE HoldCo pursuant to the Tax Equity ECCA, and the sale of interests in the Project HoldCo pursuant to the TE HoldCo MIPA),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pursuant to this Agreement, the Tax Equity ECCA and the TE HoldCo MIPA);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distributions to Seller of any loan proceeds received under the Financing Agreement (in accordance therewith) or any other amounts described in </w:t>
      </w:r>
      <w:r>
        <w:rPr>
          <w:rFonts w:ascii="Times New Roman;Times;Serif" w:hAnsi="Times New Roman;Times;Serif"/>
          <w:b w:val="false"/>
          <w:i/>
          <w:caps w:val="false"/>
          <w:smallCaps w:val="false"/>
          <w:sz w:val="20"/>
        </w:rPr>
        <w:t>Section 2.05</w:t>
      </w:r>
      <w:r>
        <w:rPr>
          <w:rFonts w:ascii="Times New Roman;Times;Serif" w:hAnsi="Times New Roman;Times;Serif"/>
          <w:b w:val="false"/>
          <w:i w:val="false"/>
          <w:caps w:val="false"/>
          <w:smallCaps w:val="false"/>
          <w:sz w:val="20"/>
        </w:rPr>
        <w:t xml:space="preserve"> or in any of clauses (i) through (vi) of Section 5.07(a)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any action or enter into any commitment with respect to or in contemplation of any liquidation, dissolution, recapitalization, reorganization or other winding up of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open or establish any new accounts with financial institutions, other than as required by any Financing Document or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material change in its business or operations, except such changes as may be required to comply with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material capital expenditures (or enter into any Contracts in respect of material capital expenditures) other than as contemplated by the Company Contracts or any Tax Equity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merge any Acquired Company into or with any other Person or consolidate any Acquired Company with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enter into any Contract for the purchase of real property or any interests therein, other than as contemplated by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acquire, or enter into any Contract for any acquisitions (by merger, consolidation, or acquisition of stock or assets or any other business combination), of any Person or business or any division thereof, other than as contemplated by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sell, lease (as lessor), transfer or otherwise dispose of (including any transfers to any of its Affiliates), or mortgage or pledge, or impose or suffer to be imposed any Lien on, any of its assets or properties, other than: (</w:t>
      </w:r>
      <w:r>
        <w:rPr>
          <w:rFonts w:ascii="Times New Roman;Times;Serif" w:hAnsi="Times New Roman;Times;Serif"/>
          <w:b w:val="false"/>
          <w:i/>
          <w:caps w:val="false"/>
          <w:smallCaps w:val="false"/>
          <w:sz w:val="20"/>
        </w:rPr>
        <w:t>1</w:t>
      </w:r>
      <w:r>
        <w:rPr>
          <w:rFonts w:ascii="Times New Roman;Times;Serif" w:hAnsi="Times New Roman;Times;Serif"/>
          <w:b w:val="false"/>
          <w:i w:val="false"/>
          <w:caps w:val="false"/>
          <w:smallCaps w:val="false"/>
          <w:sz w:val="20"/>
        </w:rPr>
        <w:t>) inventory and personal property sold or otherwise disposed of in the ordinary course of business; (</w:t>
      </w:r>
      <w:r>
        <w:rPr>
          <w:rFonts w:ascii="Times New Roman;Times;Serif" w:hAnsi="Times New Roman;Times;Serif"/>
          <w:b w:val="false"/>
          <w:i/>
          <w:caps w:val="false"/>
          <w:smallCaps w:val="false"/>
          <w:sz w:val="20"/>
        </w:rPr>
        <w:t>2</w:t>
      </w:r>
      <w:r>
        <w:rPr>
          <w:rFonts w:ascii="Times New Roman;Times;Serif" w:hAnsi="Times New Roman;Times;Serif"/>
          <w:b w:val="false"/>
          <w:i w:val="false"/>
          <w:caps w:val="false"/>
          <w:smallCaps w:val="false"/>
          <w:sz w:val="20"/>
        </w:rPr>
        <w:t>) Permitted Liens; or (</w:t>
      </w:r>
      <w:r>
        <w:rPr>
          <w:rFonts w:ascii="Times New Roman;Times;Serif" w:hAnsi="Times New Roman;Times;Serif"/>
          <w:b w:val="false"/>
          <w:i/>
          <w:caps w:val="false"/>
          <w:smallCaps w:val="false"/>
          <w:sz w:val="20"/>
        </w:rPr>
        <w:t>3</w:t>
      </w:r>
      <w:r>
        <w:rPr>
          <w:rFonts w:ascii="Times New Roman;Times;Serif" w:hAnsi="Times New Roman;Times;Serif"/>
          <w:b w:val="false"/>
          <w:i w:val="false"/>
          <w:caps w:val="false"/>
          <w:smallCaps w:val="false"/>
          <w:sz w:val="20"/>
        </w:rPr>
        <w:t>) as contemplated by any Financing Document or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create, incur, assume or guarantee, or agree to create, incur, assume or guarantee, any Indebtedness for borrowed money, or enter into any “keep well” or other agreement to maintain the financial condition of another Person or into any arrangement having the economic effect of any of the foregoing (including entering into, as lessee, any capitalized lease obligations as defined in Statement of Financial Accounting Standards No. 13), other than any Indebtedness arising from the Financing Agreement or any other Financing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loans or advances to any Person (other than another Acquired Company), except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except for the execution of the Tax Equity Agreements, 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applicable Acquired Company may terminate its Energy Storage Agreement or Capacity Agreement without express written approval, so long as the applicable Acquired Company has at least an Energy Storage Agreement or Capacity Agreement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arms’-length basis which are not in the aggregate materially adverse to the business of Target Company or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make any material change in accounting policies or practices (including any change in depreciation or amortization policies) of any Acquired Company, except as required under GAAP or if such change would not have a material adverse effect on Purchaser, or revalue any of the Target Company’s or any Acquired Company’s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each case, except as required by any Tax Equity Document, make or change any material Tax election, change an annual accounting period, adopt or change any accounting method with respect to Taxes, file any material amended Tax Return, or enter into any closing agreement (as described in Section 7121 of the Code), settle or compromise any proceeding with respect to any material Tax claim or assessment, surrender any right to claim a material refund of Taxes, consent to any extension or waiver of the limitation period applicable to any material Tax claim or assessment relating to the Target Company or any other Acquired Company or take any other similar action relating to the filing of any material Tax Return or the payment of any material Tax;</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pay, discharge, settle or satisfy any claims, liabilities or obligations prior to the same being due in excess of fifty thousand dollars ($50,000) in the aggregate other than as due and payable in the ordinary course under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hire any employees or adopt any Employee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except as contemplated pursuant to any Tax Equity Agreement, enter into any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fail to maintain insurance coverage substantially equivalent to its insurance coverage as in effect on the date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otherwise make any commitment to do any of the foregoing in this </w:t>
      </w:r>
      <w:r>
        <w:rPr>
          <w:rFonts w:ascii="Times New Roman;Times;Serif" w:hAnsi="Times New Roman;Times;Serif"/>
          <w:b w:val="false"/>
          <w:i/>
          <w:caps w:val="false"/>
          <w:smallCaps w:val="false"/>
          <w:sz w:val="20"/>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Seller may permit the Acquired Companies to take commercially reasonable actions with respect to emergency situations so long as Seller shall, upon receipt of notice of any such actions, promptly inform Purchaser of any such actions taken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            </w:t>
      </w:r>
      <w:r>
        <w:rPr>
          <w:rFonts w:ascii="Times New Roman;Times;Serif" w:hAnsi="Times New Roman;Times;Serif"/>
          <w:b/>
          <w:i/>
          <w:caps w:val="false"/>
          <w:smallCaps w:val="false"/>
          <w:sz w:val="20"/>
        </w:rPr>
        <w:t>Fulfillment of Conditions</w:t>
      </w:r>
      <w:r>
        <w:rPr>
          <w:rFonts w:ascii="Times New Roman;Times;Serif" w:hAnsi="Times New Roman;Times;Serif"/>
          <w:b w:val="false"/>
          <w:i w:val="false"/>
          <w:caps w:val="false"/>
          <w:smallCaps w:val="false"/>
          <w:sz w:val="20"/>
        </w:rPr>
        <w:t>. Each Party shall take all commercially reasonable steps necessary or desirable, and proceed diligently and in good faith, to satisfy each condition to the obligations of the other Party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            </w:t>
      </w:r>
      <w:r>
        <w:rPr>
          <w:rFonts w:ascii="Times New Roman;Times;Serif" w:hAnsi="Times New Roman;Times;Serif"/>
          <w:b/>
          <w:i/>
          <w:caps w:val="false"/>
          <w:smallCaps w:val="false"/>
          <w:sz w:val="20"/>
        </w:rPr>
        <w:t>Further Assurances</w:t>
      </w:r>
      <w:r>
        <w:rPr>
          <w:rFonts w:ascii="Times New Roman;Times;Serif" w:hAnsi="Times New Roman;Times;Serif"/>
          <w:b w:val="false"/>
          <w:i w:val="false"/>
          <w:caps w:val="false"/>
          <w:smallCaps w:val="false"/>
          <w:sz w:val="20"/>
        </w:rPr>
        <w:t xml:space="preserve">. During the Interim Period, each Party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 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shall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5.07.            </w:t>
      </w:r>
      <w:r>
        <w:rPr>
          <w:rFonts w:ascii="Times New Roman;Times;Serif" w:hAnsi="Times New Roman;Times;Serif"/>
          <w:b/>
          <w:i/>
          <w:caps w:val="false"/>
          <w:smallCaps w:val="false"/>
          <w:sz w:val="20"/>
        </w:rPr>
        <w:t>Purchaser’s Substitute Support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Purchaser acknowledges that Seller and certain Affiliates have provided certain credit support pursuant to the support obligations and related agreements described on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(collectively, the “</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From the Execution Date and continuing until the earlier of the termination of this Agreement or the replacement or release of each Support Obligation, Purchaser shall use commercially reasonable efforts to negotiate a replacement of each such Support Obligation (each, a “</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with the beneficiary thereof or to effect the complete and unconditional release of each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First Phase MC Funding.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Execution Date and continuing until the earlier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termination of this Agreement;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effective date of the applicable Substitute Support Obligation, if any;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date such Support Obligation is no longer required to be maintained under the applicable Company Contract, Seller shall, and shall cause its Affiliates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maintain each Support Obligation in full force and effect in accordance with the requirements under the applicable Company Contract;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perform all of its obligations under each Support Obligation;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not amend, modify, grant a waiver in respect of, cancel or consent to the termination of any Support Obligation;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to the extent that a Support Obligation cannot be released, terminated or replaced by Purchaser at or prior to the First Phase MC Funding Date or is set forth on </w:t>
      </w:r>
      <w:r>
        <w:rPr>
          <w:rFonts w:ascii="Times New Roman;Times;Serif" w:hAnsi="Times New Roman;Times;Serif"/>
          <w:b w:val="false"/>
          <w:i/>
          <w:caps w:val="false"/>
          <w:smallCaps w:val="false"/>
          <w:sz w:val="20"/>
        </w:rPr>
        <w:t>Part 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(each, a “</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caps w:val="false"/>
          <w:smallCaps w:val="false"/>
          <w:sz w:val="20"/>
        </w:rPr>
        <w:t>Section 5.07(c)</w:t>
      </w:r>
      <w:r>
        <w:rPr>
          <w:rFonts w:ascii="Times New Roman;Times;Serif" w:hAnsi="Times New Roman;Times;Serif"/>
          <w:b w:val="false"/>
          <w:i w:val="false"/>
          <w:caps w:val="false"/>
          <w:smallCaps w:val="false"/>
          <w:sz w:val="20"/>
        </w:rPr>
        <w:t> below, Seller shall, and shall cause its Affiliates to, perform its obligations with respect to each such Support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there is a Retained Support Obligation, Purchaser shall: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any Acquired Company conducted, existing or arising after the Closing Date (including as a result of any draw or demand for or making of any payment by Seller or any such Affiliate of Seller under any Retained Support Obligation);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diligently continue to seek the release, termination and replacement of such Retained Support Obligation as required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reimburse Seller or its Affiliates (as applicable) for the actual out-of-pocket costs of, and fees paid by, Seller or its Affiliates in maintaining such Retained Support Obligation, accruing at any time after the Closing Date, until such time as such Retained Support Obligation is replaced;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Purchaser’s indemnification obligations under clause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shall not affect Seller’s indemnification obligations under </w:t>
      </w:r>
      <w:r>
        <w:rPr>
          <w:rFonts w:ascii="Times New Roman;Times;Serif" w:hAnsi="Times New Roman;Times;Serif"/>
          <w:b w:val="false"/>
          <w:i/>
          <w:caps w:val="false"/>
          <w:smallCaps w:val="false"/>
          <w:sz w:val="20"/>
        </w:rPr>
        <w:t>Section 5.07(d)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Following the replacement of a Support Obligation by Purchaser for a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any Acquired Company conducted, existing or arising at or prior to the Closing Date (including as a result of any draw or demand for or making of any payment by Purchaser or any such Affiliate of Purchaser under any Substitute Support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5.08.       </w:t>
      </w:r>
      <w:r>
        <w:rPr>
          <w:rFonts w:ascii="Times New Roman;Times;Serif" w:hAnsi="Times New Roman;Times;Serif"/>
          <w:b/>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Transfer Taxes, if any, arising out of or in connection with the consummation of the transactions contemplated by this Agreement shall be shared equally by Purchaser and Seller. The Party required by Law to file a Tax Return related to Transfer Taxes in connection with any transaction or action contemplated by this Agreement will do so within the time period required by Law and inform the other Party of its share and provide a copy of the return, but will first use commercially reasonable efforts to provide such Tax Returns to the other Party at least ten (10) Business Days prior to the date such Tax Returns are due to be filed and the Parties will work in good faith to resolve any disagreement with respect to such Tax Returns.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real property Taxes, personal property Taxes and similar obligations of any Acquired Company imposed by any Governmental Authority that are due or become due for Tax periods within which the Closing Date occurs shall be apportioned between Seller for the pre-Closing Date period (which shall include the Closing Date), on the one hand, and the applicable Acquired Company for the post-Closing Date period, on the other hand, as of the Closing Date, based upon the actual number of days of the Tax period that have elapsed before and after the Closing Date, and any income Taxes imposed on any Acquired Company shall be allocated between the pre-Closing Date period and the post-Closing Date period as though a taxable year of the applicable Acquired Company has ended on (and includes) the Closing Date (collectively, the “</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shall be responsible for the portion of such Apportioned Obligations attributable to the period ending on (and including) the Closing Date. The Target Company (or the applicable Acquired Companies)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any Acquired Company pursuant to the preceding sentence shall be paid by such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refund, rebate or similar payment is received by any Acquired Company for any real property Taxes, personal property Taxes or similar obligations referred to above that are Apportioned Obligations, such refund shall be apportioned between Seller and the applicable Acquired Company as aforesaid on the basis of the obligations of the Acquired Companies during the applicable Tax period. Any refund, rebate or similar payment received by any Acquired Company for any income Tax or Transfer Tax (other than Transfer Taxes governed under </w:t>
      </w:r>
      <w:r>
        <w:rPr>
          <w:rFonts w:ascii="Times New Roman;Times;Serif" w:hAnsi="Times New Roman;Times;Serif"/>
          <w:b w:val="false"/>
          <w:i/>
          <w:caps w:val="false"/>
          <w:smallCaps w:val="false"/>
          <w:sz w:val="20"/>
        </w:rPr>
        <w:t>Section 5.08(a)</w:t>
      </w:r>
      <w:r>
        <w:rPr>
          <w:rFonts w:ascii="Times New Roman;Times;Serif" w:hAnsi="Times New Roman;Times;Serif"/>
          <w:b w:val="false"/>
          <w:i w:val="false"/>
          <w:caps w:val="false"/>
          <w:smallCaps w:val="false"/>
          <w:sz w:val="20"/>
        </w:rPr>
        <w:t>) attributable to the pre-Closing Date period, as determined above, shall be for the benefit of Seller; and any such refund, rebate or similar payment attributable to the post-Closing Date period, as determined above, shall be for the benefit of the applicable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any Taxes with respect to which the taxable period (or portion thereof) of the applicable Acquired Company ends on or before the Closing Date, Seller shall, at its sole cost and expense, timely prepare and file with the appropriate authorities all Tax Returns required to be filed by the applicable Acquired Company, and pay or cause to be paid all Taxes shown to be due thereon. After the Closing Date, each Acquired Company shall, at its sole cost and expense, timely prepare and file, or cause to be timely prepared and filed, with the appropriate authorities all other Tax Returns required to be filed by such Acquired Company, and pay all Taxes shown to be due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Seller and Purchaser shall reasonably cooperate, and shall cause their respective Affiliates, employees and agents reasonably to cooperate, in preparing and filing all Tax Returns of each Acquired Company, including maintaining and making available to each other all records that are necessary for the preparation of any Tax Returns that the Party is required to file under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and in resolving all Actions or Proceedings, and audits or examinations with respect to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the foregoing, the provisions of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xml:space="preserve"> shall be subject to, and the Seller’s rights pursuant to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xml:space="preserve"> shall be limited to the extent inconsistent with, the terms of the Tax Equity Documents and the rights of the parties thereunder.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5.09.       </w:t>
      </w:r>
      <w:r>
        <w:rPr>
          <w:rFonts w:ascii="Times New Roman;Times;Serif" w:hAnsi="Times New Roman;Times;Serif"/>
          <w:b/>
          <w:i/>
          <w:caps w:val="false"/>
          <w:smallCaps w:val="false"/>
          <w:sz w:val="20"/>
        </w:rPr>
        <w:t>No Solicitation</w:t>
      </w:r>
      <w:r>
        <w:rPr>
          <w:rFonts w:ascii="Times New Roman;Times;Serif" w:hAnsi="Times New Roman;Times;Serif"/>
          <w:b w:val="false"/>
          <w:i w:val="false"/>
          <w:caps w:val="false"/>
          <w:smallCaps w:val="false"/>
          <w:sz w:val="20"/>
        </w:rPr>
        <w:t>. Until the Closing or, if earlier, termination of this Agreement, Seller shall not, and shall not authorize or permit the Acquired Companies, any of their Affiliates or any of their Representatives to, directly or indirectly: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encourage, solicit, initiate, facilitate or continue inquiries regarding an Acquisition Proposal;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enter into discussions or negotiations with, or provide any information to, any Person concerning a possible Acquisition Proposal;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enter into any agreements or other instruments (whether or not binding) regarding an Acquisition Proposal. Seller shall immediately cease and cause to be terminated, and shall cause the Acquired Companies, any of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shall mean (other than with respect to the transactions contemplated by any Financing Document and the TE HoldCo MIPA) any inquiry, proposal or offer from any Person concerning: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 merger, consolidation, liquidation, recapitalization, share exchange or other business combination transaction involving the Acquired Companies;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issuance or acquisition of equity securities of the Acquired Companies;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sale, lease, exchange or other disposition of any significant portion of the Acquired Companies’ properties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w:t>
      </w:r>
      <w:r>
        <w:rPr>
          <w:rFonts w:ascii="Times New Roman;Times;Serif" w:hAnsi="Times New Roman;Times;Serif"/>
          <w:b/>
          <w:i/>
          <w:caps w:val="false"/>
          <w:smallCaps w:val="false"/>
          <w:sz w:val="20"/>
        </w:rPr>
        <w:t>Purchaser Parent Guaranty</w:t>
      </w:r>
      <w:r>
        <w:rPr>
          <w:rFonts w:ascii="Times New Roman;Times;Serif" w:hAnsi="Times New Roman;Times;Serif"/>
          <w:b w:val="false"/>
          <w:i w:val="false"/>
          <w:caps w:val="false"/>
          <w:smallCaps w:val="false"/>
          <w:sz w:val="20"/>
        </w:rPr>
        <w:t>. Purchaser shall, concurrently with the execution and delivery of this Agreement, cause to be executed and delivered to Seller the Purchaser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w:t>
      </w:r>
      <w:r>
        <w:rPr>
          <w:rFonts w:ascii="Times New Roman;Times;Serif" w:hAnsi="Times New Roman;Times;Serif"/>
          <w:b/>
          <w:i/>
          <w:caps w:val="false"/>
          <w:smallCaps w:val="false"/>
          <w:sz w:val="20"/>
        </w:rPr>
        <w:t>Seller Parent Guaranty</w:t>
      </w:r>
      <w:r>
        <w:rPr>
          <w:rFonts w:ascii="Times New Roman;Times;Serif" w:hAnsi="Times New Roman;Times;Serif"/>
          <w:b w:val="false"/>
          <w:i w:val="false"/>
          <w:caps w:val="false"/>
          <w:smallCaps w:val="false"/>
          <w:sz w:val="20"/>
        </w:rPr>
        <w:t>. Seller shall, concurrently with the execution and delivery of this Agreement, cause to be executed and delivered to Purchaser the Seller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w:t>
      </w:r>
      <w:r>
        <w:rPr>
          <w:rFonts w:ascii="Times New Roman;Times;Serif" w:hAnsi="Times New Roman;Times;Serif"/>
          <w:b/>
          <w:i/>
          <w:caps w:val="false"/>
          <w:smallCaps w:val="false"/>
          <w:sz w:val="20"/>
        </w:rPr>
        <w:t>Tax Equity Agreements; Tax Credit Monetization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following the Execution Date, Seller shall enter into (or shall cause the Target Company or the applicable Acquired Company to enter into) the Tax Equity ECCA, the TE HoldCo MIPA and the other Tax Equity Documents to be entered into upon the execution of the Tax Equity Agreements (the execution of the foregoing, the “</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xml:space="preserve">”). The form and substance of Tax Equity the ECCA and the TE HoldCo MIPA, along with each schedule, exhibit or annex thereto (including each other Tax Equity Agreement) and the initial Tax Equity Model, in each case, shall be subject to the prior written consent of Purchaser (which consent shall not be unreasonably withheld or delayed, except that such consent may be withheld in Purchaser’s sole discretion with respect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each Purchaser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any Purchaser Tax Credit Transfer Guaranty,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Base Case Model and Tax Equity Model,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the terms and conditions of a “flip” or the allocation or re-allocation of risks and benefits resulting from a Tax Credit Transfer Transaction, and the other commercial terms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Following the Tax Equity Signing, Seller shall promptly provide to Purchaser true, complete and correct copies of each such Contract or document, including any schedule, exhibit or annex thereto, and, with respect to the Tax Equity ECCA, the following documents delivered pursuant to the Tax Equity ECCA: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Model,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Reports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Title Proformas. During the period from the Tax Equity Signing until the date that is fifteen (15) Business Days thereafter, if either Party reasonably determines that any term or provision of this Agreement that makes reference to a Tax Equity Document requires amendment or modification in light of the final, executed version of such Tax Equity Document, such Party shall promptly notify the other Party of the foregoing, and each Party shall, acting reasonably and in good faith, work together with the other Party to prepare and negotiate appropriate amendments hereto (with the understanding that any such amendment shall seek to maintain the allocation of risks and benefits, and preserve the other commercial terms, in this Agreement) to be entered into by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any such amendment shall be subject to the mutual agreement of the Parties pursuant to </w:t>
      </w:r>
      <w:r>
        <w:rPr>
          <w:rFonts w:ascii="Times New Roman;Times;Serif" w:hAnsi="Times New Roman;Times;Serif"/>
          <w:b w:val="false"/>
          <w:i/>
          <w:caps w:val="false"/>
          <w:smallCaps w:val="false"/>
          <w:sz w:val="20"/>
        </w:rPr>
        <w:t>Section 8.08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       </w:t>
      </w:r>
      <w:r>
        <w:rPr>
          <w:rFonts w:ascii="Times New Roman;Times;Serif" w:hAnsi="Times New Roman;Times;Serif"/>
          <w:b/>
          <w:i/>
          <w:caps w:val="false"/>
          <w:smallCaps w:val="false"/>
          <w:sz w:val="20"/>
        </w:rPr>
        <w:t>Duties of the Initial Manager</w:t>
      </w:r>
      <w:r>
        <w:rPr>
          <w:rFonts w:ascii="Times New Roman;Times;Serif" w:hAnsi="Times New Roman;Times;Serif"/>
          <w:b w:val="false"/>
          <w:i w:val="false"/>
          <w:caps w:val="false"/>
          <w:smallCaps w:val="false"/>
          <w:sz w:val="20"/>
        </w:rPr>
        <w:t>. Seller hereby acknowledges and agrees, for itself and on behalf of its Affiliates, that the duties required to be performed by the “Manager” (as defined in the A&amp;R LLCA) under the A&amp;R LLCA constitute a portion of the “Services” (as defined pursuant to that certain Second Amended and Restated Master Services Agreement, dated as of April 30, 2024, by and among Clearway Energy, Inc., Clearway Energy LLC, Purchaser Parent and CEG (the “</w:t>
      </w:r>
      <w:r>
        <w:rPr>
          <w:rFonts w:ascii="Times New Roman;Times;Serif" w:hAnsi="Times New Roman;Times;Serif"/>
          <w:b w:val="false"/>
          <w:i/>
          <w:caps w:val="false"/>
          <w:smallCaps w:val="false"/>
          <w:sz w:val="20"/>
        </w:rPr>
        <w:t>Master Services Agreement</w:t>
      </w:r>
      <w:r>
        <w:rPr>
          <w:rFonts w:ascii="Times New Roman;Times;Serif" w:hAnsi="Times New Roman;Times;Serif"/>
          <w:b w:val="false"/>
          <w:i w:val="false"/>
          <w:caps w:val="false"/>
          <w:smallCaps w:val="false"/>
          <w:sz w:val="20"/>
        </w:rPr>
        <w:t>”)), and shall be performed by CEG or an Affiliate thereof at no additional cost to Purchaser for so long as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Master Services Agreement shall remain in full force and effect,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Purchaser shall act as the “Manager” under the A&amp;R LLCA;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CEG shall remain an indirect owner of Seller.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6.01.            </w:t>
      </w:r>
      <w:r>
        <w:rPr>
          <w:rFonts w:ascii="Times New Roman;Times;Serif" w:hAnsi="Times New Roman;Times;Serif"/>
          <w:b/>
          <w:i/>
          <w:caps w:val="false"/>
          <w:smallCaps w:val="false"/>
          <w:sz w:val="20"/>
        </w:rPr>
        <w:t>Indemnification by Seller</w:t>
      </w:r>
      <w:r>
        <w:rPr>
          <w:rFonts w:ascii="Times New Roman;Times;Serif" w:hAnsi="Times New Roman;Times;Serif"/>
          <w:b w:val="false"/>
          <w:i w:val="false"/>
          <w:caps w:val="false"/>
          <w:smallCaps w:val="false"/>
          <w:sz w:val="20"/>
        </w:rPr>
        <w:t>.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breach of any representation, warranty, covenant, agreement or obligation made by Seller in this Agreement or any certificate delivered by Seller pursuant to this Agreement (with any breach and the calculation of any Losses therefrom determined without regard to any Material Adverse Effect or other materiality qualifier),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the matters referenced on </w:t>
      </w:r>
      <w:r>
        <w:rPr>
          <w:rFonts w:ascii="Times New Roman;Times;Serif" w:hAnsi="Times New Roman;Times;Serif"/>
          <w:b w:val="false"/>
          <w:i/>
          <w:caps w:val="false"/>
          <w:smallCaps w:val="false"/>
          <w:sz w:val="20"/>
        </w:rPr>
        <w:t xml:space="preserve">Schedule 6.01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with respect to any Losses for which Purchaser or its Affiliate is or becomes indemnified by a third party with respect to any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Seller shall have no obligation to indemnify Purchaser with respect to such Losses);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except to the extent included in the calculation of the Purchase Price, any Transaction Expense of any Acquired Company as of the Closing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foregoing indemnity shall not apply to Losses to the extent caused by the gross negligence or willful misconduct of Purchaser Indemnified Parties or their agents, officers, employees or contractors. If a Purchaser Indemnified Party has recovered any Losses pursuant to one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such Purchaser Indemnified Party shall not be entitled to recover the same Losses under another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or any other contract or agreement related to a Project between Purchaser or any of its Affiliates, on the one hand, and Seller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6.02.            </w:t>
      </w:r>
      <w:r>
        <w:rPr>
          <w:rFonts w:ascii="Times New Roman;Times;Serif" w:hAnsi="Times New Roman;Times;Serif"/>
          <w:b/>
          <w:i/>
          <w:caps w:val="false"/>
          <w:smallCaps w:val="false"/>
          <w:sz w:val="20"/>
        </w:rPr>
        <w:t>Indemnification by Purchaser</w:t>
      </w:r>
      <w:r>
        <w:rPr>
          <w:rFonts w:ascii="Times New Roman;Times;Serif" w:hAnsi="Times New Roman;Times;Serif"/>
          <w:b w:val="false"/>
          <w:i w:val="false"/>
          <w:caps w:val="false"/>
          <w:smallCaps w:val="false"/>
          <w:sz w:val="20"/>
        </w:rPr>
        <w:t xml:space="preserve">.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indemnity shall not apply to Losses to the extent caused by the gross negligence or willful misconduct of Seller Indemnified Parties or their agents, officers, employees or contractors. If a Seller Indemnified Party has recovered any Losses pursuant to one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such Seller Indemnified Party shall not be entitled to recover the same Losses under another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or any other contract or agreement related to a Project between Seller or any of its Affiliates, on the one hand, and Purchaser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6.03.            </w:t>
      </w:r>
      <w:r>
        <w:rPr>
          <w:rFonts w:ascii="Times New Roman;Times;Serif" w:hAnsi="Times New Roman;Times;Serif"/>
          <w:b/>
          <w:i/>
          <w:caps w:val="false"/>
          <w:smallCaps w:val="false"/>
          <w:sz w:val="20"/>
        </w:rPr>
        <w:t>Survival of Representations, Warranties, Covenants and Agreements</w:t>
      </w:r>
      <w:r>
        <w:rPr>
          <w:rFonts w:ascii="Times New Roman;Times;Serif" w:hAnsi="Times New Roman;Times;Serif"/>
          <w:b w:val="false"/>
          <w:i w:val="false"/>
          <w:caps w:val="false"/>
          <w:smallCaps w:val="false"/>
          <w:sz w:val="20"/>
        </w:rPr>
        <w:t xml:space="preserve">. The representations, warranties, covenants, agreements and obligations of Seller and Purchaser contained in this Agreement are material, were relied on by such Parties, and will survive the Closing Date as provided in this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 xml:space="preserve">. Subject to the limitations and other provisions of this Agreement, the representations and warranties contained herein shall survive the Closing for twelve (12) months after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val="false"/>
          <w:i/>
          <w:caps w:val="false"/>
          <w:smallCaps w:val="false"/>
          <w:sz w:val="20"/>
        </w:rPr>
        <w:t>Section 3.01(a)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3.01(b) </w:t>
      </w:r>
      <w:r>
        <w:rPr>
          <w:rFonts w:ascii="Times New Roman;Times;Serif" w:hAnsi="Times New Roman;Times;Serif"/>
          <w:b w:val="false"/>
          <w:i w:val="false"/>
          <w:caps w:val="false"/>
          <w:smallCaps w:val="false"/>
          <w:sz w:val="20"/>
        </w:rPr>
        <w:t xml:space="preserve">(Authority), </w:t>
      </w:r>
      <w:r>
        <w:rPr>
          <w:rFonts w:ascii="Times New Roman;Times;Serif" w:hAnsi="Times New Roman;Times;Serif"/>
          <w:b w:val="false"/>
          <w:i/>
          <w:caps w:val="false"/>
          <w:smallCaps w:val="false"/>
          <w:sz w:val="20"/>
        </w:rPr>
        <w:t>Section 3.01(g)</w:t>
      </w:r>
      <w:r>
        <w:rPr>
          <w:rFonts w:ascii="Times New Roman;Times;Serif" w:hAnsi="Times New Roman;Times;Serif"/>
          <w:b w:val="false"/>
          <w:i w:val="false"/>
          <w:caps w:val="false"/>
          <w:smallCaps w:val="false"/>
          <w:sz w:val="20"/>
        </w:rPr>
        <w:t xml:space="preserve"> (Brokers), </w:t>
      </w:r>
      <w:r>
        <w:rPr>
          <w:rFonts w:ascii="Times New Roman;Times;Serif" w:hAnsi="Times New Roman;Times;Serif"/>
          <w:b w:val="false"/>
          <w:i/>
          <w:caps w:val="false"/>
          <w:smallCaps w:val="false"/>
          <w:sz w:val="20"/>
        </w:rPr>
        <w:t>Section 3.01(i)(i)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Section 3.01(i)(ix)</w:t>
      </w:r>
      <w:r>
        <w:rPr>
          <w:rFonts w:ascii="Times New Roman;Times;Serif" w:hAnsi="Times New Roman;Times;Serif"/>
          <w:b w:val="false"/>
          <w:i w:val="false"/>
          <w:caps w:val="false"/>
          <w:smallCaps w:val="false"/>
          <w:sz w:val="20"/>
        </w:rPr>
        <w:t xml:space="preserve"> (Company and the Acquired Companies), </w:t>
      </w:r>
      <w:r>
        <w:rPr>
          <w:rFonts w:ascii="Times New Roman;Times;Serif" w:hAnsi="Times New Roman;Times;Serif"/>
          <w:b w:val="false"/>
          <w:i/>
          <w:caps w:val="false"/>
          <w:smallCaps w:val="false"/>
          <w:sz w:val="20"/>
        </w:rPr>
        <w:t>Section 3.02(a)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3.02(b)</w:t>
      </w:r>
      <w:r>
        <w:rPr>
          <w:rFonts w:ascii="Times New Roman;Times;Serif" w:hAnsi="Times New Roman;Times;Serif"/>
          <w:b w:val="false"/>
          <w:i w:val="false"/>
          <w:caps w:val="false"/>
          <w:smallCaps w:val="false"/>
          <w:sz w:val="20"/>
        </w:rPr>
        <w:t xml:space="preserve"> (Authority) and </w:t>
      </w:r>
      <w:r>
        <w:rPr>
          <w:rFonts w:ascii="Times New Roman;Times;Serif" w:hAnsi="Times New Roman;Times;Serif"/>
          <w:b w:val="false"/>
          <w:i/>
          <w:caps w:val="false"/>
          <w:smallCaps w:val="false"/>
          <w:sz w:val="20"/>
        </w:rPr>
        <w:t>Section 3.02(h)</w:t>
      </w:r>
      <w:r>
        <w:rPr>
          <w:rFonts w:ascii="Times New Roman;Times;Serif" w:hAnsi="Times New Roman;Times;Serif"/>
          <w:b w:val="false"/>
          <w:i w:val="false"/>
          <w:caps w:val="false"/>
          <w:smallCaps w:val="false"/>
          <w:sz w:val="20"/>
        </w:rPr>
        <w:t> (Brokers) (collectively, the “</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shall survive the Closing for five (5) years after the Closing Date;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representations and warranties in </w:t>
      </w:r>
      <w:r>
        <w:rPr>
          <w:rFonts w:ascii="Times New Roman;Times;Serif" w:hAnsi="Times New Roman;Times;Serif"/>
          <w:b w:val="false"/>
          <w:i/>
          <w:caps w:val="false"/>
          <w:smallCaps w:val="false"/>
          <w:sz w:val="20"/>
        </w:rPr>
        <w:t>Section 3.01(k)</w:t>
      </w:r>
      <w:r>
        <w:rPr>
          <w:rFonts w:ascii="Times New Roman;Times;Serif" w:hAnsi="Times New Roman;Times;Serif"/>
          <w:b w:val="false"/>
          <w:i w:val="false"/>
          <w:caps w:val="false"/>
          <w:smallCaps w:val="false"/>
          <w:sz w:val="20"/>
        </w:rPr>
        <w:t xml:space="preserve"> (Taxes) shall survive the Closing until thirty (30) days after the expiration of the applicable Tax statute of limitations. The indemnity obligations of Seller pursuant to </w:t>
      </w:r>
      <w:r>
        <w:rPr>
          <w:rFonts w:ascii="Times New Roman;Times;Serif" w:hAnsi="Times New Roman;Times;Serif"/>
          <w:b w:val="false"/>
          <w:i/>
          <w:caps w:val="false"/>
          <w:smallCaps w:val="false"/>
          <w:sz w:val="20"/>
        </w:rPr>
        <w:t>Section 6.01(b)</w:t>
      </w:r>
      <w:r>
        <w:rPr>
          <w:rFonts w:ascii="Times New Roman;Times;Serif" w:hAnsi="Times New Roman;Times;Serif"/>
          <w:b w:val="false"/>
          <w:i w:val="false"/>
          <w:caps w:val="false"/>
          <w:smallCaps w:val="false"/>
          <w:sz w:val="20"/>
        </w:rPr>
        <w:t> shall survive until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as to item 1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any right of a counterparty of a Project Company to receive Delay Damaged has expired or been terminated;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as to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until the Purchaser Tax Equity Guaranty or Purchaser Tax Credit Transfer Guaranty (if any) has expired or been terminated and any claims thereunder are fully and finally resolved and no longer subject to appeal or rehearing. The other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Times;Serif" w:hAnsi="Times New Roman;Times;Serif"/>
          <w:b w:val="false"/>
          <w:i/>
          <w:caps w:val="false"/>
          <w:smallCaps w:val="false"/>
          <w:sz w:val="20"/>
        </w:rPr>
        <w:t xml:space="preserve">Section 6.01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a written notice of claim prior to the applicable survival expiration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written notice for a claim of indemnification has been provided by the Indemnified Party pursuant to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 xml:space="preserve"> on or prior to the applicable survival expiration date, then the obligation of the Indemnifying Party to indemnify the Indemnified Party pursuant to this </w:t>
      </w:r>
      <w:r>
        <w:rPr>
          <w:rFonts w:ascii="Times New Roman;Times;Serif" w:hAnsi="Times New Roman;Times;Serif"/>
          <w:b w:val="false"/>
          <w:i/>
          <w:caps w:val="false"/>
          <w:smallCaps w:val="false"/>
          <w:sz w:val="20"/>
        </w:rPr>
        <w:t xml:space="preserve">Article 6 </w:t>
      </w:r>
      <w:r>
        <w:rPr>
          <w:rFonts w:ascii="Times New Roman;Times;Serif" w:hAnsi="Times New Roman;Times;Serif"/>
          <w:b w:val="false"/>
          <w:i w:val="false"/>
          <w:caps w:val="false"/>
          <w:smallCaps w:val="false"/>
          <w:sz w:val="20"/>
        </w:rPr>
        <w:t>shall survive with respect to such claim until such claim is finally resolved.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6.04.       </w:t>
      </w:r>
      <w:r>
        <w:rPr>
          <w:rFonts w:ascii="Times New Roman;Times;Serif" w:hAnsi="Times New Roman;Times;Serif"/>
          <w:b/>
          <w:i/>
          <w:caps w:val="false"/>
          <w:smallCaps w:val="false"/>
          <w:sz w:val="20"/>
        </w:rPr>
        <w:t>Limitations on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 Indemnifying Party shall have no obligation to indemnify an Indemnified Party until the aggregate amount of all Losses incurred that are subject to indemnification by such Indemnifying Party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equal or exceed [***] of the Purchase Price (the “</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in which event the Indemnifying Party shall be liable for Losses only to the extent they are in excess of the Deductible;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Deductible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Fraudulent Action;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or (iii) a breach of any Fundamental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aggregate liability of the Seller Indemnifying Parties and the Purchaser Indemnifying Parties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resulting from any claims under any breaches of representations or warranties herein and in any certificates delivered pursuant hereto shall be limited to an amount equal to [***] of the Purchase Price (the “</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Cap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Fraudulent Action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breach of the Fundamental Representations. The aggregate liability of the Seller Indemnifying Parties or the Purchaser Indemnifying Parties, as applicable, resulting from breaches of representations or warranties (including Fundamental Representations), covenants, agreements or obligations made in this Agreement or in any certificates delivered pursuant hereto (including, for the avoidance of doubt, in respect of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other than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shall be limited to an amount equal to the Purchase Price (the “</w:t>
      </w:r>
      <w:r>
        <w:rPr>
          <w:rFonts w:ascii="Times New Roman;Times;Serif" w:hAnsi="Times New Roman;Times;Serif"/>
          <w:b w:val="false"/>
          <w:i/>
          <w:caps w:val="false"/>
          <w:smallCaps w:val="false"/>
          <w:sz w:val="20"/>
        </w:rPr>
        <w:t>Aggregate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Cap shall not apply to Losses resulting from, arising out of or relating to the matters referenced in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in no event shall the sum of Seller’s liability resulting from any claims under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in the aggregate, exceed the Tax Loss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amount of any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will be reduced by the amount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actual recovery under insurance policies that provide coverage;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actual recovery of reimbursement, indemnification or payment from any third Person;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payment or Tax benefit after the date on which an indemnity payment has been made to the Indemnified Party, the Indemnified Party shall promptly make payment to the Indemnifying Party in an amount equal to such payment or Tax benefit;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payment shall not exceed the amount of the indemnity payment.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of this Agreement to the contrary, neither Purchaser nor Seller shall be obligated to indemnify any Seller Indemnified Party or Purchaser Indemnified Party, as applicable, for any Losses to the extent such Loss is accounted for in the determination of the Adjusted Purchase Price Amount pursuant to the Adjusted Purchase Price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6.05.       </w:t>
      </w:r>
      <w:r>
        <w:rPr>
          <w:rFonts w:ascii="Times New Roman;Times;Serif" w:hAnsi="Times New Roman;Times;Serif"/>
          <w:b/>
          <w:i/>
          <w:caps w:val="false"/>
          <w:smallCaps w:val="false"/>
          <w:sz w:val="20"/>
        </w:rPr>
        <w:t>Procedure for Indemnification of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Whenever any claim by a third party shall arise for indemnification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xml:space="preserve">. If the Indemnified Party has assumed the defense of any claim by a third party which may give rise to indemnity hereunder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not settle, consent to the entry of a judgment of or compromise such claim without the prior written consent (which consent shall not be unreasonably withheld or delayed) of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6.06.       </w:t>
      </w:r>
      <w:r>
        <w:rPr>
          <w:rFonts w:ascii="Times New Roman;Times;Serif" w:hAnsi="Times New Roman;Times;Serif"/>
          <w:b/>
          <w:i/>
          <w:caps w:val="false"/>
          <w:smallCaps w:val="false"/>
          <w:sz w:val="20"/>
        </w:rPr>
        <w:t>Rights of the Indemnifying Party in the Defense of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Right to Assume the Defense</w:t>
      </w:r>
      <w:r>
        <w:rPr>
          <w:rFonts w:ascii="Times New Roman;Times;Serif" w:hAnsi="Times New Roman;Times;Serif"/>
          <w:b w:val="false"/>
          <w:i w:val="false"/>
          <w:caps w:val="false"/>
          <w:smallCaps w:val="false"/>
          <w:sz w:val="20"/>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Procedure</w:t>
      </w:r>
      <w:r>
        <w:rPr>
          <w:rFonts w:ascii="Times New Roman;Times;Serif" w:hAnsi="Times New Roman;Times;Serif"/>
          <w:b w:val="false"/>
          <w:i w:val="false"/>
          <w:caps w:val="false"/>
          <w:smallCaps w:val="false"/>
          <w:sz w:val="20"/>
        </w:rPr>
        <w:t>. If the Indemnifying Party assumes the defense of any such claim, the Indemnifying Party shall: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select counsel reasonably acceptable to the Indemnified Party to conduct the defense of such claim;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apprised at all times as to the status of the defense or any settlement negotiations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Decline to Assume the Defense</w:t>
      </w:r>
      <w:r>
        <w:rPr>
          <w:rFonts w:ascii="Times New Roman;Times;Serif" w:hAnsi="Times New Roman;Times;Serif"/>
          <w:b w:val="false"/>
          <w:i w:val="false"/>
          <w:caps w:val="false"/>
          <w:smallCaps w:val="false"/>
          <w:sz w:val="20"/>
        </w:rPr>
        <w:t>. The Indemnified Party may defend against any such claim, at the sole cost and expense of the Indemnifying Party, in such manner as it may deem reasonably appropriate, including settling such claim in accordance with the terms hereof, if: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Indemnifying Party does not assume the defense of any such claim resulting therefrom within thirty (30) days after the date the Indemnifying Party is notified of such claim by the Indemnified Party;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Indemnified Party reasonably concludes that the Indemnifying Party is: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not diligently defending the Indemnified Party;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not contesting such claim in good faith through appropriate proceedings;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case of this clause (ii), the Indemnified Party will provide written notice to the Indemnifying Party of Indemnified Party’s conclusion, and Indemnifying Party shall have failed to take the applicable actions within thirty (30) days of such written notice.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6.07.        </w:t>
      </w:r>
      <w:r>
        <w:rPr>
          <w:rFonts w:ascii="Times New Roman;Times;Serif" w:hAnsi="Times New Roman;Times;Serif"/>
          <w:b/>
          <w:i/>
          <w:caps w:val="false"/>
          <w:smallCaps w:val="false"/>
          <w:sz w:val="20"/>
        </w:rPr>
        <w:t>Direct Claims</w:t>
      </w:r>
      <w:r>
        <w:rPr>
          <w:rFonts w:ascii="Times New Roman;Times;Serif" w:hAnsi="Times New Roman;Times;Serif"/>
          <w:b w:val="false"/>
          <w:i w:val="false"/>
          <w:caps w:val="false"/>
          <w:smallCaps w:val="false"/>
          <w:sz w:val="20"/>
        </w:rPr>
        <w:t xml:space="preserve">.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against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6.08.       </w:t>
      </w:r>
      <w:r>
        <w:rPr>
          <w:rFonts w:ascii="Times New Roman;Times;Serif" w:hAnsi="Times New Roman;Times;Serif"/>
          <w:b/>
          <w:i/>
          <w:caps w:val="false"/>
          <w:smallCaps w:val="false"/>
          <w:sz w:val="20"/>
        </w:rPr>
        <w:t>Exclusive Remedy</w:t>
      </w:r>
      <w:r>
        <w:rPr>
          <w:rFonts w:ascii="Times New Roman;Times;Serif" w:hAnsi="Times New Roman;Times;Serif"/>
          <w:b w:val="false"/>
          <w:i w:val="false"/>
          <w:caps w:val="false"/>
          <w:smallCaps w:val="false"/>
          <w:sz w:val="20"/>
        </w:rPr>
        <w:t xml:space="preserve">. Absent any Fraudulent Action, the indemnities set forth in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be the exclusive remedies of Purchaser 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6.09.       </w:t>
      </w:r>
      <w:r>
        <w:rPr>
          <w:rFonts w:ascii="Times New Roman;Times;Serif" w:hAnsi="Times New Roman;Times;Serif"/>
          <w:b/>
          <w:i/>
          <w:caps w:val="false"/>
          <w:smallCaps w:val="false"/>
          <w:sz w:val="20"/>
        </w:rPr>
        <w:t>Mitigations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agrees to take all commercially reasonable steps to mitigate their respective Losses upon and after becoming aware of any event or condition which would reasonably be expected to give rise to any Losses that are indemnifiable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making any payment to the Indemnified Party for any indemnification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w:t>
      </w:r>
      <w:r>
        <w:rPr>
          <w:rFonts w:ascii="Times New Roman;Times;Serif" w:hAnsi="Times New Roman;Times;Serif"/>
          <w:b/>
          <w:i/>
          <w:caps w:val="false"/>
          <w:smallCaps w:val="false"/>
          <w:sz w:val="20"/>
        </w:rPr>
        <w:t>Indemnity Treatment</w:t>
      </w:r>
      <w:r>
        <w:rPr>
          <w:rFonts w:ascii="Times New Roman;Times;Serif" w:hAnsi="Times New Roman;Times;Serif"/>
          <w:b w:val="false"/>
          <w:i w:val="false"/>
          <w:caps w:val="false"/>
          <w:smallCaps w:val="false"/>
          <w:sz w:val="20"/>
        </w:rPr>
        <w:t xml:space="preserve">. Any amount of indemnification payable pursuant to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to the extent permitted by law, be treated as an adjustment to the Purchase Price (as determined for all relevant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7.01.       </w:t>
      </w:r>
      <w:r>
        <w:rPr>
          <w:rFonts w:ascii="Times New Roman;Times;Serif" w:hAnsi="Times New Roman;Times;Serif"/>
          <w:b/>
          <w:i/>
          <w:caps w:val="false"/>
          <w:smallCaps w:val="false"/>
          <w:sz w:val="20"/>
        </w:rPr>
        <w:t>Termination</w:t>
      </w:r>
      <w:r>
        <w:rPr>
          <w:rFonts w:ascii="Times New Roman;Times;Serif" w:hAnsi="Times New Roman;Times;Serif"/>
          <w:b w:val="false"/>
          <w:i w:val="false"/>
          <w:caps w:val="false"/>
          <w:smallCaps w:val="false"/>
          <w:sz w:val="20"/>
        </w:rPr>
        <w:t>. This Agreement may be terminated at any time prior to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Seller and Purchaser;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Party if the Closing has not occurred on or before July 30, 2028 (the “</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and the failure to reach the Closing Date was not caused by a breach of this Agreement by the terminating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Purchaser if there has been a breach by Seller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a breach of Seller’s obligations to transfer the Acquired Interests at Closing in accordance with this Agreement;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at the end of such thirty (30) day period, Seller is endeavoring in good faith, and proceeding diligently, to cure such breach, Seller shall have an additional thirty (30) days in which to effect such cure;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Seller if there has been a breach by Purchaser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at the end of such thirty (30) day period, Purchaser is endeavoring in good faith, and proceeding diligently, to cure such breach, Purchaser shall have an additional thirty (30) days in which to effect such 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7.02.       </w:t>
      </w:r>
      <w:r>
        <w:rPr>
          <w:rFonts w:ascii="Times New Roman;Times;Serif" w:hAnsi="Times New Roman;Times;Serif"/>
          <w:b/>
          <w:i/>
          <w:caps w:val="false"/>
          <w:smallCaps w:val="false"/>
          <w:sz w:val="20"/>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validly terminated pursuant to </w:t>
      </w:r>
      <w:r>
        <w:rPr>
          <w:rFonts w:ascii="Times New Roman;Times;Serif" w:hAnsi="Times New Roman;Times;Serif"/>
          <w:b w:val="false"/>
          <w:i/>
          <w:caps w:val="false"/>
          <w:smallCaps w:val="false"/>
          <w:sz w:val="20"/>
        </w:rPr>
        <w:t>Section 7.01</w:t>
      </w:r>
      <w:r>
        <w:rPr>
          <w:rFonts w:ascii="Times New Roman;Times;Serif" w:hAnsi="Times New Roman;Times;Serif"/>
          <w:b w:val="false"/>
          <w:i w:val="false"/>
          <w:caps w:val="false"/>
          <w:smallCaps w:val="false"/>
          <w:sz w:val="20"/>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and the entirety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Article 8</w:t>
      </w:r>
      <w:r>
        <w:rPr>
          <w:rFonts w:ascii="Times New Roman;Times;Serif" w:hAnsi="Times New Roman;Times;Serif"/>
          <w:b w:val="false"/>
          <w:i w:val="false"/>
          <w:caps w:val="false"/>
          <w:smallCaps w:val="false"/>
          <w:sz w:val="20"/>
        </w:rPr>
        <w:t xml:space="preserve"> will continue to apply following any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shall release any Party from liability for any breach of this Agreement by such Party prior to the termination of this Agreement (and any attempted termination by the breaching Party shall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termination of this Agreement by a Party for any reason: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Purchaser shall return all documents and other materials of Seller relating to the Target Company and the Acquired Companies, the assets or properties of the Target Company and the Acquired Companies and the transactions contemplated hereby;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Target Company, the Acquired Companies, the assets of the Target Company, the assets of the Acquired Companies or the other Party shall remain subject to the provisions of </w:t>
      </w:r>
      <w:r>
        <w:rPr>
          <w:rFonts w:ascii="Times New Roman;Times;Serif" w:hAnsi="Times New Roman;Times;Serif"/>
          <w:b w:val="false"/>
          <w:i/>
          <w:caps w:val="false"/>
          <w:smallCaps w:val="false"/>
          <w:sz w:val="20"/>
        </w:rPr>
        <w:t>Section 8.06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8.01.            </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 All notices, requests and other communications hereunder must be in writing and will be deemed to have been duly given only if delivered personally, by email, by reputable national overnight courier service or by registered or certified mail (postage prepaid) to the Parties at the following addresses or email addresses, as applicable:</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505"/>
        <w:gridCol w:w="3275"/>
      </w:tblGrid>
      <w:tr>
        <w:trPr/>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Purchaser, to:</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Honeycomb 2 Purchaser LLC</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Clearway Energy Inc.</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 Carnegie Center Drive, Suite 300</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Princeton, NJ 08540</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Attn: [***]</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Seller, to:</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Honeycomb 2 CE Seller LLC </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 Renew Development HoldCo LLC</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Renew Development HoldCo LLC[***]</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w:t>
            </w:r>
          </w:p>
        </w:tc>
      </w:tr>
      <w:tr>
        <w:trPr/>
        <w:tc>
          <w:tcPr>
            <w:tcW w:w="150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w:t>
            </w:r>
          </w:p>
        </w:tc>
      </w:tr>
    </w:tbl>
    <w:p>
      <w:pPr>
        <w:pStyle w:val="TextBody"/>
        <w:bidi w:val="0"/>
        <w:spacing w:before="0" w:after="0"/>
        <w:ind w:left="4320" w:right="0" w:hanging="28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requests and other communications will be deemed given upon the first to occur of such item having been: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delivered personally (or refusal of delivery)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delivered by confirmed email transmission to the email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delivered (or refusal of such delivery) by registered or certified mail (postage prepaid) or by reputable national overnight courier service in the manner described above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xml:space="preserve"> (in each case regardless of whether such notice, request or other communication is received by any other Person to whom a copy of such notice, request or other communication is to be delivered pursuant to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Any Party from time to time may change its address, email address or other information for the purpose of notices to that Party by giving notice specifying such change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8.02.       </w:t>
      </w:r>
      <w:r>
        <w:rPr>
          <w:rFonts w:ascii="Times New Roman;Times;Serif" w:hAnsi="Times New Roman;Times;Serif"/>
          <w:b/>
          <w:i/>
          <w:caps w:val="false"/>
          <w:smallCaps w:val="false"/>
          <w:sz w:val="20"/>
        </w:rPr>
        <w:t>Entire Agreement</w:t>
      </w:r>
      <w:r>
        <w:rPr>
          <w:rFonts w:ascii="Times New Roman;Times;Serif" w:hAnsi="Times New Roman;Times;Serif"/>
          <w:b w:val="false"/>
          <w:i w:val="false"/>
          <w:caps w:val="false"/>
          <w:smallCaps w:val="false"/>
          <w:sz w:val="20"/>
        </w:rPr>
        <w:t>. This Agreement and the documents referenced herein supersede all prior discussions and agreements, whether oral or written, between the Parties with respect to the subject matter hereof, and contain the entire agreement between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8.03.       </w:t>
      </w:r>
      <w:r>
        <w:rPr>
          <w:rFonts w:ascii="Times New Roman;Times;Serif" w:hAnsi="Times New Roman;Times;Serif"/>
          <w:b/>
          <w:i/>
          <w:caps w:val="false"/>
          <w:smallCaps w:val="false"/>
          <w:sz w:val="20"/>
        </w:rPr>
        <w:t>Specific Performance</w:t>
      </w:r>
      <w:r>
        <w:rPr>
          <w:rFonts w:ascii="Times New Roman;Times;Serif" w:hAnsi="Times New Roman;Times;Serif"/>
          <w:b w:val="false"/>
          <w:i w:val="false"/>
          <w:caps w:val="false"/>
          <w:smallCaps w:val="false"/>
          <w:sz w:val="20"/>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8.04.        </w:t>
      </w:r>
      <w:r>
        <w:rPr>
          <w:rFonts w:ascii="Times New Roman;Times;Serif" w:hAnsi="Times New Roman;Times;Serif"/>
          <w:b/>
          <w:i/>
          <w:caps w:val="false"/>
          <w:smallCaps w:val="false"/>
          <w:sz w:val="20"/>
        </w:rPr>
        <w:t>Time of the Essence</w:t>
      </w:r>
      <w:r>
        <w:rPr>
          <w:rFonts w:ascii="Times New Roman;Times;Serif" w:hAnsi="Times New Roman;Times;Serif"/>
          <w:b w:val="false"/>
          <w:i w:val="false"/>
          <w:caps w:val="false"/>
          <w:smallCaps w:val="false"/>
          <w:sz w:val="20"/>
        </w:rPr>
        <w:t>. Time is of the essence with regard to all duties and time periods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8.05.       </w:t>
      </w:r>
      <w:r>
        <w:rPr>
          <w:rFonts w:ascii="Times New Roman;Times;Serif" w:hAnsi="Times New Roman;Times;Serif"/>
          <w:b/>
          <w:i/>
          <w:caps w:val="false"/>
          <w:smallCaps w:val="false"/>
          <w:sz w:val="20"/>
        </w:rPr>
        <w:t>Expenses</w:t>
      </w:r>
      <w:r>
        <w:rPr>
          <w:rFonts w:ascii="Times New Roman;Times;Serif" w:hAnsi="Times New Roman;Times;Serif"/>
          <w:b w:val="false"/>
          <w:i w:val="false"/>
          <w:caps w:val="false"/>
          <w:smallCaps w:val="false"/>
          <w:sz w:val="20"/>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8.06.       </w:t>
      </w:r>
      <w:r>
        <w:rPr>
          <w:rFonts w:ascii="Times New Roman;Times;Serif" w:hAnsi="Times New Roman;Times;Serif"/>
          <w:b/>
          <w:i/>
          <w:caps w:val="false"/>
          <w:smallCaps w:val="false"/>
          <w:sz w:val="20"/>
        </w:rPr>
        <w:t>Confidentiality; Disclosures</w:t>
      </w:r>
      <w:r>
        <w:rPr>
          <w:rFonts w:ascii="Times New Roman;Times;Serif" w:hAnsi="Times New Roman;Times;Serif"/>
          <w:b w:val="false"/>
          <w:i w:val="false"/>
          <w:caps w:val="false"/>
          <w:smallCaps w:val="false"/>
          <w:sz w:val="20"/>
        </w:rPr>
        <w:t>. This Agreement is confidential, and neither Party shall disclose the terms and conditions of this Agreement 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8.07.       </w:t>
      </w:r>
      <w:r>
        <w:rPr>
          <w:rFonts w:ascii="Times New Roman;Times;Serif" w:hAnsi="Times New Roman;Times;Serif"/>
          <w:b/>
          <w:i/>
          <w:caps w:val="false"/>
          <w:smallCaps w:val="false"/>
          <w:sz w:val="20"/>
        </w:rPr>
        <w:t>Waiver</w:t>
      </w:r>
      <w:r>
        <w:rPr>
          <w:rFonts w:ascii="Times New Roman;Times;Serif" w:hAnsi="Times New Roman;Times;Serif"/>
          <w:b w:val="false"/>
          <w:i w:val="false"/>
          <w:caps w:val="false"/>
          <w:smallCaps w:val="false"/>
          <w:sz w:val="20"/>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8.08.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This Agreement may be amended, supplemented or modified only by a written instrument duly executed by or on behalf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8.09.       </w:t>
      </w:r>
      <w:r>
        <w:rPr>
          <w:rFonts w:ascii="Times New Roman;Times;Serif" w:hAnsi="Times New Roman;Times;Serif"/>
          <w:b/>
          <w:i/>
          <w:caps w:val="false"/>
          <w:smallCaps w:val="false"/>
          <w:sz w:val="20"/>
        </w:rPr>
        <w:t>No Third Party Beneficiary</w:t>
      </w:r>
      <w:r>
        <w:rPr>
          <w:rFonts w:ascii="Times New Roman;Times;Serif" w:hAnsi="Times New Roman;Times;Serif"/>
          <w:b w:val="false"/>
          <w:i w:val="false"/>
          <w:caps w:val="false"/>
          <w:smallCaps w:val="false"/>
          <w:sz w:val="20"/>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       </w:t>
      </w:r>
      <w:r>
        <w:rPr>
          <w:rFonts w:ascii="Times New Roman;Times;Serif" w:hAnsi="Times New Roman;Times;Serif"/>
          <w:b/>
          <w:i/>
          <w:caps w:val="false"/>
          <w:smallCaps w:val="false"/>
          <w:sz w:val="20"/>
        </w:rPr>
        <w:t>Assignment</w:t>
      </w:r>
      <w:r>
        <w:rPr>
          <w:rFonts w:ascii="Times New Roman;Times;Serif" w:hAnsi="Times New Roman;Times;Serif"/>
          <w:b w:val="false"/>
          <w:i w:val="false"/>
          <w:caps w:val="false"/>
          <w:smallCaps w:val="false"/>
          <w:sz w:val="20"/>
        </w:rPr>
        <w:t xml:space="preserve">. The obligations of the Parties under this Agreement are not assignable without the prior written consent of the other Party, which such Party may withhold in its discretion;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Purchaser may assign this Agreement, including the right to acquire the Acquired Interests, without the prior written consent of Seller,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Affiliate of Purchaser;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financial institution providing purchase money or other financing to Purchaser from time to time as collateral security for such financing, in each case so long as Purchaser remains fully liable for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8.11.       </w:t>
      </w:r>
      <w:r>
        <w:rPr>
          <w:rFonts w:ascii="Times New Roman;Times;Serif" w:hAnsi="Times New Roman;Times;Serif"/>
          <w:b/>
          <w:i/>
          <w:caps w:val="false"/>
          <w:smallCaps w:val="false"/>
          <w:sz w:val="20"/>
        </w:rPr>
        <w:t>Severability</w:t>
      </w:r>
      <w:r>
        <w:rPr>
          <w:rFonts w:ascii="Times New Roman;Times;Serif" w:hAnsi="Times New Roman;Times;Serif"/>
          <w:b w:val="false"/>
          <w:i w:val="false"/>
          <w:caps w:val="false"/>
          <w:smallCaps w:val="false"/>
          <w:sz w:val="20"/>
        </w:rPr>
        <w:t>. If any provision of this Agreement is held to be illegal, invalid or unenforceable under any present or future Law, and if the rights or obligations of any Party under this Agreement shall not be materially and adversely affected thereby: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such provision shall be fully severable;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this Agreement shall be construed and enforced as if such illegal, invalid or unenforceable provision had never comprised a part hereof;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remaining provisions of this Agreement shall remain in full force and effect and shall not be affected by the illegal, invalid or unenforceable provision or by its severance here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8.12.       </w:t>
      </w: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THIS AGREEMENT AND ALL DISPUTES AND CONTROVERSIES ARISING HEREUNDER SHALL BE GOVERNED BY AND CONSTRUED IN ALL RESPECTS IN ACCORDANCE WITH THE LAWS OF THE STATE OF NEW YORK WITHOUT GIVING EFFECT TO THE CONFLICTS OF LAWS PRINCIPLES THEREOF EXCEPT FOR SECTIONS 5-1401 AND 5-1402 OF THE NEW YORK GENERAL OBLIGATIONS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       </w:t>
      </w:r>
      <w:r>
        <w:rPr>
          <w:rFonts w:ascii="Times New Roman;Times;Serif" w:hAnsi="Times New Roman;Times;Serif"/>
          <w:b/>
          <w:i/>
          <w:caps w:val="false"/>
          <w:smallCaps w:val="false"/>
          <w:sz w:val="20"/>
        </w:rPr>
        <w:t>Consent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irrevocably and unconditionally waives, to the fullest extent it may legally and effectively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objection which it may now or hereafter have to the laying of venue of any Action or Proceeding arising out of or relating to this Agreement or any related matter in any New York state or federal court located in New York County;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hereto irrevocably consents to service of process by registered mail, return receipt requested, as provided in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8.14.            </w:t>
      </w:r>
      <w:r>
        <w:rPr>
          <w:rFonts w:ascii="Times New Roman;Times;Serif" w:hAnsi="Times New Roman;Times;Serif"/>
          <w:b/>
          <w:i/>
          <w:caps w:val="false"/>
          <w:smallCaps w:val="false"/>
          <w:sz w:val="20"/>
        </w:rPr>
        <w:t>Waiver of Jury Trial</w:t>
      </w:r>
      <w:r>
        <w:rPr>
          <w:rFonts w:ascii="Times New Roman;Times;Serif" w:hAnsi="Times New Roman;Times;Serif"/>
          <w:b w:val="false"/>
          <w:i w:val="false"/>
          <w:caps w:val="false"/>
          <w:smallCaps w:val="false"/>
          <w:sz w:val="20"/>
        </w:rPr>
        <w:t>. TO THE FULLEST EXTENT PERMITTED BY LAW, EACH PARTY HEREBY WAIVES ALL RIGHTS TO A TRIAL BY JURY IN ANY LEGAL ACTION TO ENFORCE OR INTERPRET THE PROVISIONS OF THIS AGREEMENT OR THAT OTHERWISE RELATES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8.15.            </w:t>
      </w:r>
      <w:r>
        <w:rPr>
          <w:rFonts w:ascii="Times New Roman;Times;Serif" w:hAnsi="Times New Roman;Times;Serif"/>
          <w:b/>
          <w:i/>
          <w:caps w:val="false"/>
          <w:smallCaps w:val="false"/>
          <w:sz w:val="20"/>
        </w:rPr>
        <w:t>Limitation on Certain Damages</w:t>
      </w:r>
      <w:r>
        <w:rPr>
          <w:rFonts w:ascii="Times New Roman;Times;Serif" w:hAnsi="Times New Roman;Times;Serif"/>
          <w:b w:val="false"/>
          <w:i w:val="false"/>
          <w:caps w:val="false"/>
          <w:smallCaps w:val="false"/>
          <w:sz w:val="20"/>
        </w:rPr>
        <w:t>. NOTWITHSTANDING ANYTHING IN THIS AGREEMENT TO THE CONTRARY, NO PARTY SHALL BE LIABLE TO ANY OTHER PARTY FOR ANY CONSEQUENTIAL, SPECIAL, INDIRECT, SPECULATIVE, EXEMPLARY, OR PUNITIVE DAMAGES (COLLECTIVELY, “</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LOSSES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8.16.            </w:t>
      </w:r>
      <w:r>
        <w:rPr>
          <w:rFonts w:ascii="Times New Roman;Times;Serif" w:hAnsi="Times New Roman;Times;Serif"/>
          <w:b/>
          <w:i/>
          <w:caps w:val="false"/>
          <w:smallCaps w:val="false"/>
          <w:sz w:val="20"/>
        </w:rPr>
        <w:t>Disclosures</w:t>
      </w:r>
      <w:r>
        <w:rPr>
          <w:rFonts w:ascii="Times New Roman;Times;Serif" w:hAnsi="Times New Roman;Times;Serif"/>
          <w:b w:val="false"/>
          <w:i w:val="false"/>
          <w:caps w:val="false"/>
          <w:smallCaps w:val="false"/>
          <w:sz w:val="20"/>
        </w:rPr>
        <w:t>. Seller or Purchaser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Target Company, the Acquired Companies or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8.17.            </w:t>
      </w:r>
      <w:r>
        <w:rPr>
          <w:rFonts w:ascii="Times New Roman;Times;Serif" w:hAnsi="Times New Roman;Times;Serif"/>
          <w:b/>
          <w:i/>
          <w:caps w:val="false"/>
          <w:smallCaps w:val="false"/>
          <w:sz w:val="20"/>
        </w:rPr>
        <w:t>PDF Signature; Counterparts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This Agreement may be executed by PDF signature or the use of any other secure signature software including DocuSign, in any number of counterparts, each of which will be deemed an original, but all of which together will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Membership Interest Purchase Agreement to be executed and delivered by their duly authorized officers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199" w:type="dxa"/>
        <w:jc w:val="left"/>
        <w:tblInd w:w="0" w:type="dxa"/>
        <w:tblLayout w:type="fixed"/>
        <w:tblCellMar>
          <w:top w:w="0" w:type="dxa"/>
          <w:left w:w="0" w:type="dxa"/>
          <w:bottom w:w="0" w:type="dxa"/>
          <w:right w:w="0" w:type="dxa"/>
        </w:tblCellMar>
      </w:tblPr>
      <w:tblGrid>
        <w:gridCol w:w="75"/>
        <w:gridCol w:w="903"/>
        <w:gridCol w:w="2221"/>
      </w:tblGrid>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Honeycomb 2 CE Seller LLC,</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222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Steven Ryder</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Ryder</w:t>
            </w:r>
          </w:p>
        </w:tc>
      </w:tr>
      <w:tr>
        <w:trPr/>
        <w:tc>
          <w:tcPr>
            <w:tcW w:w="7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HONEYCOMB 2 – CWEN MIPA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04" w:type="dxa"/>
        <w:jc w:val="left"/>
        <w:tblInd w:w="0" w:type="dxa"/>
        <w:tblLayout w:type="fixed"/>
        <w:tblCellMar>
          <w:top w:w="0" w:type="dxa"/>
          <w:left w:w="0" w:type="dxa"/>
          <w:bottom w:w="0" w:type="dxa"/>
          <w:right w:w="0" w:type="dxa"/>
        </w:tblCellMar>
      </w:tblPr>
      <w:tblGrid>
        <w:gridCol w:w="75"/>
        <w:gridCol w:w="1002"/>
        <w:gridCol w:w="3127"/>
      </w:tblGrid>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Honeycomb 2 purchaser LLC,</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 Delaware limited liability company</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312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P. Miller</w:t>
            </w:r>
          </w:p>
        </w:tc>
      </w:tr>
      <w:tr>
        <w:trPr/>
        <w:tc>
          <w:tcPr>
            <w:tcW w:w="7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P. Miller</w:t>
            </w:r>
          </w:p>
        </w:tc>
      </w:tr>
      <w:tr>
        <w:trPr/>
        <w:tc>
          <w:tcPr>
            <w:tcW w:w="75"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HONEYCOMB 2 – CWEN MIPA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29555</Words>
  <Characters>159042</Characters>
  <CharactersWithSpaces>191146</CharactersWithSpaces>
  <Paragraphs>1667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