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Clearway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Energy Income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J. Murchie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Eva Pao</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CONNECTICUT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Saul Ballesteros</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CONNECTICUT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K. Tysseland</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CONNECTICUT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75"/>
        <w:gridCol w:w="8975"/>
        <w:gridCol w:w="155"/>
      </w:tblGrid>
      <w:tr>
        <w:trPr/>
        <w:tc>
          <w:tcPr>
            <w:tcW w:w="1075" w:type="dxa"/>
            <w:tcBorders/>
            <w:vAlign w:val="center"/>
          </w:tcPr>
          <w:p>
            <w:pPr>
              <w:pStyle w:val="TableContents"/>
              <w:bidi w:val="0"/>
              <w:spacing w:before="0" w:after="283"/>
              <w:jc w:val="left"/>
              <w:rPr/>
            </w:pPr>
            <w:r>
              <w:rPr/>
              <w:t>Item 1.</w:t>
            </w:r>
          </w:p>
        </w:tc>
        <w:tc>
          <w:tcPr>
            <w:tcW w:w="89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jc w:val="left"/>
              <w:rPr/>
            </w:pPr>
            <w:r>
              <w:rPr/>
              <w:t xml:space="preserve">Name of issuer: </w:t>
            </w:r>
          </w:p>
          <w:p>
            <w:pPr>
              <w:pStyle w:val="TableContents"/>
              <w:bidi w:val="0"/>
              <w:spacing w:before="0" w:after="0"/>
              <w:jc w:val="left"/>
              <w:rPr/>
            </w:pPr>
            <w:r>
              <w:rPr/>
              <w:t>Clearway Energy, Inc.</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(b)</w:t>
            </w:r>
          </w:p>
        </w:tc>
        <w:tc>
          <w:tcPr>
            <w:tcW w:w="897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Carnegie Center Suite 300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2.</w:t>
            </w:r>
          </w:p>
        </w:tc>
        <w:tc>
          <w:tcPr>
            <w:tcW w:w="897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jc w:val="left"/>
              <w:rPr/>
            </w:pPr>
            <w:r>
              <w:rPr/>
              <w:t xml:space="preserve">Name of person filing: </w:t>
            </w:r>
          </w:p>
          <w:p>
            <w:pPr>
              <w:pStyle w:val="TableContents"/>
              <w:bidi w:val="0"/>
              <w:spacing w:before="0" w:after="0"/>
              <w:jc w:val="left"/>
              <w:rPr/>
            </w:pPr>
            <w:r>
              <w:rPr/>
              <w:t>Energy Income Partners, LLC James Murchie Eva Pao Saul Ballesteros John Tysseland</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(b)</w:t>
            </w:r>
          </w:p>
        </w:tc>
        <w:tc>
          <w:tcPr>
            <w:tcW w:w="897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 Wright Street Westport, Connecticut 06880</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(c)</w:t>
            </w:r>
          </w:p>
        </w:tc>
        <w:tc>
          <w:tcPr>
            <w:tcW w:w="8975" w:type="dxa"/>
            <w:tcBorders/>
            <w:vAlign w:val="center"/>
          </w:tcPr>
          <w:p>
            <w:pPr>
              <w:pStyle w:val="TableContents"/>
              <w:bidi w:val="0"/>
              <w:jc w:val="left"/>
              <w:rPr/>
            </w:pPr>
            <w:r>
              <w:rPr/>
              <w:t xml:space="preserve">Citizenship: </w:t>
            </w:r>
          </w:p>
          <w:p>
            <w:pPr>
              <w:pStyle w:val="TableContents"/>
              <w:bidi w:val="0"/>
              <w:spacing w:before="0" w:after="0"/>
              <w:jc w:val="left"/>
              <w:rPr/>
            </w:pPr>
            <w:r>
              <w:rPr/>
              <w:t>Energy Income Partners, LLC is a Delaware limited liability company James Murchie is a citizen of the United States of America Eva Pao is a citizen of the United States of America Saul Ballesteros is a citizen of the United States of America John Tysseland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(d)</w:t>
            </w:r>
          </w:p>
        </w:tc>
        <w:tc>
          <w:tcPr>
            <w:tcW w:w="897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Shares</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(e)</w:t>
            </w:r>
          </w:p>
        </w:tc>
        <w:tc>
          <w:tcPr>
            <w:tcW w:w="897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3.</w:t>
            </w:r>
          </w:p>
        </w:tc>
        <w:tc>
          <w:tcPr>
            <w:tcW w:w="897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(b)</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(c)</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(d)</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(e)</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(f)</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(g)</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(h)</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(j)</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(k)</w:t>
            </w:r>
          </w:p>
        </w:tc>
        <w:tc>
          <w:tcPr>
            <w:tcW w:w="897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9130" w:type="dxa"/>
            <w:gridSpan w:val="2"/>
            <w:tcBorders/>
            <w:vAlign w:val="center"/>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4.</w:t>
            </w:r>
          </w:p>
        </w:tc>
        <w:tc>
          <w:tcPr>
            <w:tcW w:w="897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(a)</w:t>
            </w:r>
          </w:p>
        </w:tc>
        <w:tc>
          <w:tcPr>
            <w:tcW w:w="897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(b)</w:t>
            </w:r>
          </w:p>
        </w:tc>
        <w:tc>
          <w:tcPr>
            <w:tcW w:w="897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(c)</w:t>
            </w:r>
          </w:p>
        </w:tc>
        <w:tc>
          <w:tcPr>
            <w:tcW w:w="897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5.</w:t>
            </w:r>
          </w:p>
        </w:tc>
        <w:tc>
          <w:tcPr>
            <w:tcW w:w="897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6.</w:t>
            </w:r>
          </w:p>
        </w:tc>
        <w:tc>
          <w:tcPr>
            <w:tcW w:w="897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7.</w:t>
            </w:r>
          </w:p>
        </w:tc>
        <w:tc>
          <w:tcPr>
            <w:tcW w:w="897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Item 9.</w:t>
            </w:r>
          </w:p>
        </w:tc>
        <w:tc>
          <w:tcPr>
            <w:tcW w:w="897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5"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Energy Income Partners, LLC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Nandita Hogan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Compliance Officer, Energy Income Partners</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James J. Murchie</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James J. Murchie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Chief Executive Officer, Energy Income Partners</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2132" w:type="dxa"/>
        <w:jc w:val="left"/>
        <w:tblInd w:w="0" w:type="dxa"/>
        <w:tblLayout w:type="fixed"/>
        <w:tblCellMar>
          <w:top w:w="28" w:type="dxa"/>
          <w:left w:w="28" w:type="dxa"/>
          <w:bottom w:w="28" w:type="dxa"/>
          <w:right w:w="28" w:type="dxa"/>
        </w:tblCellMar>
      </w:tblPr>
      <w:tblGrid>
        <w:gridCol w:w="1066"/>
        <w:gridCol w:w="1066"/>
      </w:tblGrid>
      <w:tr>
        <w:trPr/>
        <w:tc>
          <w:tcPr>
            <w:tcW w:w="1066" w:type="dxa"/>
            <w:tcBorders/>
            <w:vAlign w:val="center"/>
          </w:tcPr>
          <w:p>
            <w:pPr>
              <w:pStyle w:val="TableContents"/>
              <w:bidi w:val="0"/>
              <w:spacing w:before="0" w:after="0"/>
              <w:jc w:val="left"/>
              <w:rPr/>
            </w:pPr>
            <w:r>
              <w:rPr/>
              <w:t> </w:t>
            </w:r>
          </w:p>
          <w:tbl>
            <w:tblPr>
              <w:tblW w:w="961" w:type="dxa"/>
              <w:jc w:val="left"/>
              <w:tblInd w:w="0" w:type="dxa"/>
              <w:tblLayout w:type="fixed"/>
              <w:tblCellMar>
                <w:top w:w="28" w:type="dxa"/>
                <w:left w:w="28" w:type="dxa"/>
                <w:bottom w:w="28" w:type="dxa"/>
                <w:right w:w="28" w:type="dxa"/>
              </w:tblCellMar>
            </w:tblPr>
            <w:tblGrid>
              <w:gridCol w:w="961"/>
            </w:tblGrid>
            <w:tr>
              <w:trPr/>
              <w:tc>
                <w:tcPr>
                  <w:tcW w:w="961" w:type="dxa"/>
                  <w:tcBorders/>
                  <w:vAlign w:val="center"/>
                </w:tcPr>
                <w:p>
                  <w:pPr>
                    <w:pStyle w:val="TableContents"/>
                    <w:bidi w:val="0"/>
                    <w:spacing w:before="0" w:after="0"/>
                    <w:jc w:val="left"/>
                    <w:rPr/>
                  </w:pPr>
                  <w:r>
                    <w:rPr/>
                    <w:t>Eva Pao</w:t>
                  </w:r>
                </w:p>
              </w:tc>
            </w:tr>
          </w:tbl>
          <w:p>
            <w:pPr>
              <w:pStyle w:val="TableContents"/>
              <w:bidi w:val="0"/>
              <w:spacing w:before="0" w:after="283"/>
              <w:jc w:val="left"/>
              <w:rPr/>
            </w:pPr>
            <w:r>
              <w:rPr/>
            </w:r>
          </w:p>
        </w:tc>
        <w:tc>
          <w:tcPr>
            <w:tcW w:w="1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Eva Pao</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Partner, Energy Income Partners</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Saul Ballesteros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Saul Ballesteros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Head Trader, Energy Income Partners</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John K. Tysseland</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John K. Tysseland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Portfolio Manager, Energy Income Partners</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6541" w:type="dxa"/>
        <w:jc w:val="left"/>
        <w:tblInd w:w="0" w:type="dxa"/>
        <w:tblLayout w:type="fixed"/>
        <w:tblCellMar>
          <w:top w:w="28" w:type="dxa"/>
          <w:left w:w="28" w:type="dxa"/>
          <w:bottom w:w="28" w:type="dxa"/>
          <w:right w:w="28" w:type="dxa"/>
        </w:tblCellMar>
      </w:tblPr>
      <w:tblGrid>
        <w:gridCol w:w="6541"/>
      </w:tblGrid>
      <w:tr>
        <w:trPr/>
        <w:tc>
          <w:tcPr>
            <w:tcW w:w="6541" w:type="dxa"/>
            <w:tcBorders/>
            <w:vAlign w:val="center"/>
          </w:tcPr>
          <w:p>
            <w:pPr>
              <w:pStyle w:val="TableContents"/>
              <w:bidi w:val="0"/>
              <w:spacing w:before="0" w:after="283"/>
              <w:jc w:val="center"/>
              <w:rPr>
                <w:b/>
              </w:rPr>
            </w:pPr>
            <w:r>
              <w:rPr>
                <w:b/>
              </w:rPr>
              <w:t xml:space="preserve">Exhibit Information </w:t>
            </w:r>
          </w:p>
        </w:tc>
      </w:tr>
      <w:tr>
        <w:trPr/>
        <w:tc>
          <w:tcPr>
            <w:tcW w:w="6541" w:type="dxa"/>
            <w:tcBorders/>
            <w:vAlign w:val="center"/>
          </w:tcPr>
          <w:p>
            <w:pPr>
              <w:pStyle w:val="TableContents"/>
              <w:bidi w:val="0"/>
              <w:spacing w:before="0" w:after="283"/>
              <w:jc w:val="left"/>
              <w:rPr/>
            </w:pPr>
            <w:r>
              <w:rPr/>
              <w:t>A description of the group membership has been filed as an exhibit.</w:t>
            </w:r>
          </w:p>
        </w:tc>
      </w:tr>
    </w:tbl>
    <w:p>
      <w:pPr>
        <w:pStyle w:val="TextBody"/>
        <w:bidi w:val="0"/>
        <w:jc w:val="right"/>
        <w:rPr>
          <w:b/>
        </w:rPr>
      </w:pPr>
      <w:bookmarkStart w:id="32" w:name="tm2622500d1_ex99-1.htm"/>
      <w:bookmarkStart w:id="33" w:name="kstm2622500d1_ex991"/>
      <w:bookmarkEnd w:id="32"/>
      <w:bookmarkEnd w:id="33"/>
      <w:r>
        <w:rPr>
          <w:b/>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 Filing Exhibit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 Income Partners,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 Membership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Income Partners, LLC (“EIP”) is a registered investment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Murchie derives beneficial ownership of the shares reported in the 13G filing solely through his service as an officer of EIP.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 Pao derives beneficial ownership of the shares reported in the 13G filing solely through her service as an officer of EIP.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Saul Ballesteros derives beneficial ownership of the shares reported in the 13G filing solely through his service as an officer of EIP.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Tysseland derives beneficial ownership of the shares reported in the 13G filing solely through his service as an officer of EIP.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1418</Words>
  <Characters>7179</Characters>
  <CharactersWithSpaces>8516</CharactersWithSpaces>
  <Paragraphs>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