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741-1_4seq1.xml.htm"/>
      <w:bookmarkStart w:id="1" w:name="kstm262674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748"/>
        <w:gridCol w:w="1143"/>
        <w:gridCol w:w="983"/>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63,811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29.14</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148,284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152,450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forfeiture of shares of restricted stock of the Issuer previously granted by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Adebayo Ogunlesi, Michael McGhee, Rajaram Rao, Julie Ashworth, Jonathan Bram, William Brilliant, Matthew Harris, Sugam Mehta, Salim Samaha, Scott Telesz and Gonzalo Garcia,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BlackRock Portfolio Management LLC and the GIP Entities disclaim beneficial ownership of the securities reported herein, except to the extent of their respective pecuniary interest therein, if any, and, pursuant to Rule 16a-1(a)(4) under the Securities Exchange Act of 1934, as amended ("the Exchange Act"), BlackRock Portfolio Management LLC and the GIP Entities state that the inclusion of these securities in this report shall not be deemed an admission of beneficial ownership of the securities reported herein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1003</Words>
  <Characters>5552</Characters>
  <CharactersWithSpaces>6473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